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Times New Roman" w:cs="Times New Roman" w:eastAsia="Times New Roman" w:hAnsi="Times New Roman"/>
          <w:b/>
          <w:bCs/>
          <w:color w:val="1a3a5c"/>
          <w:sz w:val="24"/>
          <w:szCs w:val="24"/>
        </w:rPr>
        <w:t xml:space="preserve">EMPLOYMENT SCREENING POLICY</w:t>
      </w:r>
    </w:p>
    <w:p>
      <w:pPr>
        <w:spacing w:after="120"/>
        <w:jc w:val="center"/>
      </w:pPr>
      <w:r>
        <w:rPr>
          <w:rFonts w:ascii="Times New Roman" w:cs="Times New Roman" w:eastAsia="Times New Roman" w:hAnsi="Times New Roman"/>
          <w:i/>
          <w:iCs/>
          <w:color w:val="333333"/>
          <w:sz w:val="18"/>
          <w:szCs w:val="18"/>
        </w:rPr>
        <w:t xml:space="preserve">Applicable to Internal Employees and Staffed Professionals</w:t>
      </w:r>
    </w:p>
    <w:p>
      <w:pPr>
        <w:spacing w:after="80"/>
      </w:pPr>
      <w:r>
        <w:rPr>
          <w:rFonts w:ascii="Times New Roman" w:cs="Times New Roman" w:eastAsia="Times New Roman" w:hAnsi="Times New Roman"/>
          <w:b/>
          <w:bCs/>
          <w:sz w:val="19"/>
          <w:szCs w:val="19"/>
        </w:rPr>
        <w:t xml:space="preserve">Effective Date: </w:t>
      </w:r>
      <w:r>
        <w:rPr>
          <w:rFonts w:ascii="Times New Roman" w:cs="Times New Roman" w:eastAsia="Times New Roman" w:hAnsi="Times New Roman"/>
          <w:sz w:val="19"/>
          <w:szCs w:val="19"/>
        </w:rPr>
        <w:t xml:space="preserve">Upon execution    |    </w:t>
      </w:r>
      <w:r>
        <w:rPr>
          <w:rFonts w:ascii="Times New Roman" w:cs="Times New Roman" w:eastAsia="Times New Roman" w:hAnsi="Times New Roman"/>
          <w:b/>
          <w:bCs/>
          <w:sz w:val="19"/>
          <w:szCs w:val="19"/>
        </w:rPr>
        <w:t xml:space="preserve">Last Revised: </w:t>
      </w:r>
      <w:r>
        <w:rPr>
          <w:rFonts w:ascii="Times New Roman" w:cs="Times New Roman" w:eastAsia="Times New Roman" w:hAnsi="Times New Roman"/>
          <w:sz w:val="19"/>
          <w:szCs w:val="19"/>
        </w:rPr>
        <w:t xml:space="preserve">February 2026    |    </w:t>
      </w:r>
      <w:r>
        <w:rPr>
          <w:rFonts w:ascii="Times New Roman" w:cs="Times New Roman" w:eastAsia="Times New Roman" w:hAnsi="Times New Roman"/>
          <w:b/>
          <w:bCs/>
          <w:sz w:val="19"/>
          <w:szCs w:val="19"/>
        </w:rPr>
        <w:t xml:space="preserve">Approved By: </w:t>
      </w:r>
      <w:r>
        <w:rPr>
          <w:rFonts w:ascii="Times New Roman" w:cs="Times New Roman" w:eastAsia="Times New Roman" w:hAnsi="Times New Roman"/>
          <w:sz w:val="19"/>
          <w:szCs w:val="19"/>
        </w:rPr>
        <w:t xml:space="preserve">Odie Gray, CEO</w:t>
      </w:r>
    </w:p>
    <w:p>
      <w:pPr>
        <w:spacing w:before="100" w:after="50"/>
      </w:pPr>
      <w:r>
        <w:rPr>
          <w:rFonts w:ascii="Times New Roman" w:cs="Times New Roman" w:eastAsia="Times New Roman" w:hAnsi="Times New Roman"/>
          <w:b/>
          <w:bCs/>
          <w:color w:val="1a3a5c"/>
          <w:sz w:val="20"/>
          <w:szCs w:val="20"/>
        </w:rPr>
        <w:t xml:space="preserve">1.  PURPOSE</w:t>
      </w:r>
    </w:p>
    <w:p>
      <w:pPr>
        <w:spacing w:after="60"/>
      </w:pPr>
      <w:r>
        <w:rPr>
          <w:rFonts w:ascii="Times New Roman" w:cs="Times New Roman" w:eastAsia="Times New Roman" w:hAnsi="Times New Roman"/>
          <w:sz w:val="19"/>
          <w:szCs w:val="19"/>
        </w:rPr>
        <w:t xml:space="preserve">Dominus Gray, LLC is committed to maintaining a safe, productive, and trustworthy workplace. This policy establishes uniform screening procedures for all internal employees and staffed professionals placed with client organizations. All screening is conducted in compliance with the Fair Credit Reporting Act (FCRA), Title VII of the Civil Rights Act as interpreted by the Equal Employment Opportunity Commission (EEOC), the Americans with Disabilities Act (ADA), and applicable Texas state law.</w:t>
      </w:r>
    </w:p>
    <w:p>
      <w:pPr>
        <w:spacing w:before="80" w:after="50"/>
      </w:pPr>
      <w:r>
        <w:rPr>
          <w:rFonts w:ascii="Times New Roman" w:cs="Times New Roman" w:eastAsia="Times New Roman" w:hAnsi="Times New Roman"/>
          <w:b/>
          <w:bCs/>
          <w:color w:val="1a3a5c"/>
          <w:sz w:val="20"/>
          <w:szCs w:val="20"/>
        </w:rPr>
        <w:t xml:space="preserve">2.  SCOPE</w:t>
      </w:r>
    </w:p>
    <w:p>
      <w:pPr>
        <w:spacing w:after="60"/>
      </w:pPr>
      <w:r>
        <w:rPr>
          <w:rFonts w:ascii="Times New Roman" w:cs="Times New Roman" w:eastAsia="Times New Roman" w:hAnsi="Times New Roman"/>
          <w:sz w:val="19"/>
          <w:szCs w:val="19"/>
        </w:rPr>
        <w:t xml:space="preserve">This policy applies to all candidates for employment with Dominus Gray and all professionals sourced, vetted, or placed by Dominus Gray for client engagements, including W-2 employees and 1099 independent contractors performing services under Dominus Gray's direction.</w:t>
      </w:r>
    </w:p>
    <w:p>
      <w:pPr>
        <w:spacing w:before="80" w:after="50"/>
      </w:pPr>
      <w:r>
        <w:rPr>
          <w:rFonts w:ascii="Times New Roman" w:cs="Times New Roman" w:eastAsia="Times New Roman" w:hAnsi="Times New Roman"/>
          <w:b/>
          <w:bCs/>
          <w:color w:val="1a3a5c"/>
          <w:sz w:val="20"/>
          <w:szCs w:val="20"/>
        </w:rPr>
        <w:t xml:space="preserve">3.  PRE-EMPLOYMENT BACKGROUND SCREENING</w:t>
      </w:r>
    </w:p>
    <w:p>
      <w:pPr>
        <w:spacing w:after="50"/>
      </w:pPr>
      <w:r>
        <w:rPr>
          <w:rFonts w:ascii="Times New Roman" w:cs="Times New Roman" w:eastAsia="Times New Roman" w:hAnsi="Times New Roman"/>
          <w:sz w:val="19"/>
          <w:szCs w:val="19"/>
        </w:rPr>
        <w:t xml:space="preserve">All offers of employment or placement are contingent upon successful completion of a background screening. Dominus Gray will obtain written authorization from the candidate before initiating any screening through a qualified Consumer Reporting Agency (CRA). Standard screening includes: (a) identity and Social Security number verification; (b) criminal history search covering county, state, and federal records; (c) National Sex Offender Registry search; (d) employment history verification for the preceding seven years; (e) education and professional credential verification; and (f) professional reference checks. For positions involving financial responsibility, access to sensitive client data, or government contract work, additional screening may include credit history review and motor vehicle records, consistent with applicable law.</w:t>
      </w:r>
    </w:p>
    <w:p>
      <w:pPr>
        <w:spacing w:before="80" w:after="50"/>
      </w:pPr>
      <w:r>
        <w:rPr>
          <w:rFonts w:ascii="Times New Roman" w:cs="Times New Roman" w:eastAsia="Times New Roman" w:hAnsi="Times New Roman"/>
          <w:b/>
          <w:bCs/>
          <w:color w:val="1a3a5c"/>
          <w:sz w:val="20"/>
          <w:szCs w:val="20"/>
        </w:rPr>
        <w:t xml:space="preserve">4.  CRIMINAL BACKGROUND CHECK STANDARDS</w:t>
      </w:r>
    </w:p>
    <w:p>
      <w:pPr>
        <w:spacing w:after="50"/>
      </w:pPr>
      <w:r>
        <w:rPr>
          <w:rFonts w:ascii="Times New Roman" w:cs="Times New Roman" w:eastAsia="Times New Roman" w:hAnsi="Times New Roman"/>
          <w:sz w:val="19"/>
          <w:szCs w:val="19"/>
        </w:rPr>
        <w:t xml:space="preserve">A criminal record does not automatically disqualify a candidate. Consistent with EEOC guidance, Dominus Gray conducts an individualized assessment considering the nature and gravity of the offense, the time elapsed since the offense or completion of sentence, and the relevance of the offense to the duties and responsibilities of the position. Arrests that did not result in conviction are not considered. Expunged or sealed records under Texas Government Code Chapter 411 are not used in employment decisions. Candidates whose background check reveals potentially disqualifying information will receive a pre-adverse action notice, a copy of the report, and a summary of their rights under the FCRA, with a minimum of five business days to respond before any final decision is made.</w:t>
      </w:r>
    </w:p>
    <w:p>
      <w:pPr>
        <w:spacing w:before="80" w:after="50"/>
      </w:pPr>
      <w:r>
        <w:rPr>
          <w:rFonts w:ascii="Times New Roman" w:cs="Times New Roman" w:eastAsia="Times New Roman" w:hAnsi="Times New Roman"/>
          <w:b/>
          <w:bCs/>
          <w:color w:val="1a3a5c"/>
          <w:sz w:val="20"/>
          <w:szCs w:val="20"/>
        </w:rPr>
        <w:t xml:space="preserve">5.  DRUG AND ALCOHOL TESTING</w:t>
      </w:r>
    </w:p>
    <w:p>
      <w:pPr>
        <w:spacing w:after="50"/>
      </w:pPr>
      <w:r>
        <w:rPr>
          <w:rFonts w:ascii="Times New Roman" w:cs="Times New Roman" w:eastAsia="Times New Roman" w:hAnsi="Times New Roman"/>
          <w:sz w:val="19"/>
          <w:szCs w:val="19"/>
        </w:rPr>
        <w:t xml:space="preserve">Dominus Gray maintains a drug-free workplace. Drug and alcohol testing may be conducted under the following circumstances: (a) </w:t>
      </w:r>
      <w:r>
        <w:rPr>
          <w:rFonts w:ascii="Times New Roman" w:cs="Times New Roman" w:eastAsia="Times New Roman" w:hAnsi="Times New Roman"/>
          <w:b/>
          <w:bCs/>
          <w:sz w:val="19"/>
          <w:szCs w:val="19"/>
        </w:rPr>
        <w:t xml:space="preserve">Pre-Employment:</w:t>
      </w:r>
      <w:r>
        <w:rPr>
          <w:rFonts w:ascii="Times New Roman" w:cs="Times New Roman" w:eastAsia="Times New Roman" w:hAnsi="Times New Roman"/>
          <w:sz w:val="19"/>
          <w:szCs w:val="19"/>
        </w:rPr>
        <w:t xml:space="preserve"> All candidates who accept a conditional offer of employment or placement are subject to testing prior to start date. (b) </w:t>
      </w:r>
      <w:r>
        <w:rPr>
          <w:rFonts w:ascii="Times New Roman" w:cs="Times New Roman" w:eastAsia="Times New Roman" w:hAnsi="Times New Roman"/>
          <w:b/>
          <w:bCs/>
          <w:sz w:val="19"/>
          <w:szCs w:val="19"/>
        </w:rPr>
        <w:t xml:space="preserve">Reasonable Suspicion:</w:t>
      </w:r>
      <w:r>
        <w:rPr>
          <w:rFonts w:ascii="Times New Roman" w:cs="Times New Roman" w:eastAsia="Times New Roman" w:hAnsi="Times New Roman"/>
          <w:sz w:val="19"/>
          <w:szCs w:val="19"/>
        </w:rPr>
        <w:t xml:space="preserve"> When a supervisor or manager observes behavior, appearance, or performance indicators consistent with impairment. (c) </w:t>
      </w:r>
      <w:r>
        <w:rPr>
          <w:rFonts w:ascii="Times New Roman" w:cs="Times New Roman" w:eastAsia="Times New Roman" w:hAnsi="Times New Roman"/>
          <w:b/>
          <w:bCs/>
          <w:sz w:val="19"/>
          <w:szCs w:val="19"/>
        </w:rPr>
        <w:t xml:space="preserve">Post-Accident:</w:t>
      </w:r>
      <w:r>
        <w:rPr>
          <w:rFonts w:ascii="Times New Roman" w:cs="Times New Roman" w:eastAsia="Times New Roman" w:hAnsi="Times New Roman"/>
          <w:sz w:val="19"/>
          <w:szCs w:val="19"/>
        </w:rPr>
        <w:t xml:space="preserve"> Following any workplace incident resulting in injury, property damage, or a near-miss event. (d) </w:t>
      </w:r>
      <w:r>
        <w:rPr>
          <w:rFonts w:ascii="Times New Roman" w:cs="Times New Roman" w:eastAsia="Times New Roman" w:hAnsi="Times New Roman"/>
          <w:b/>
          <w:bCs/>
          <w:sz w:val="19"/>
          <w:szCs w:val="19"/>
        </w:rPr>
        <w:t xml:space="preserve">Random:</w:t>
      </w:r>
      <w:r>
        <w:rPr>
          <w:rFonts w:ascii="Times New Roman" w:cs="Times New Roman" w:eastAsia="Times New Roman" w:hAnsi="Times New Roman"/>
          <w:sz w:val="19"/>
          <w:szCs w:val="19"/>
        </w:rPr>
        <w:t xml:space="preserve"> Employees in safety-sensitive or client-facing roles may be subject to random testing using a scientifically valid, unbiased selection method. (e) </w:t>
      </w:r>
      <w:r>
        <w:rPr>
          <w:rFonts w:ascii="Times New Roman" w:cs="Times New Roman" w:eastAsia="Times New Roman" w:hAnsi="Times New Roman"/>
          <w:b/>
          <w:bCs/>
          <w:sz w:val="19"/>
          <w:szCs w:val="19"/>
        </w:rPr>
        <w:t xml:space="preserve">Return-to-Duty/Follow-Up:</w:t>
      </w:r>
      <w:r>
        <w:rPr>
          <w:rFonts w:ascii="Times New Roman" w:cs="Times New Roman" w:eastAsia="Times New Roman" w:hAnsi="Times New Roman"/>
          <w:sz w:val="19"/>
          <w:szCs w:val="19"/>
        </w:rPr>
        <w:t xml:space="preserve"> Required before returning to work after a positive test or voluntary disclosure, with periodic follow-up testing for up to 12 months. All testing is performed by a certified laboratory using chain-of-custody procedures. Initial positive results are confirmed by gas chromatography-mass spectrometry (GC/MS). Candidates and employees who test positive are given the opportunity to provide a legitimate medical explanation, including valid prescriptions, before any adverse action is taken. Testing applies uniformly regardless of position, and this policy is administered without regard to race, color, national origin, sex, religion, age, disability, or any other protected characteristic.</w:t>
      </w:r>
    </w:p>
    <w:p>
      <w:pPr>
        <w:spacing w:before="80" w:after="50"/>
      </w:pPr>
      <w:r>
        <w:rPr>
          <w:rFonts w:ascii="Times New Roman" w:cs="Times New Roman" w:eastAsia="Times New Roman" w:hAnsi="Times New Roman"/>
          <w:b/>
          <w:bCs/>
          <w:color w:val="1a3a5c"/>
          <w:sz w:val="20"/>
          <w:szCs w:val="20"/>
        </w:rPr>
        <w:t xml:space="preserve">6.  CONFIDENTIALITY AND RECORDS</w:t>
      </w:r>
    </w:p>
    <w:p>
      <w:pPr>
        <w:spacing w:after="50"/>
      </w:pPr>
      <w:r>
        <w:rPr>
          <w:rFonts w:ascii="Times New Roman" w:cs="Times New Roman" w:eastAsia="Times New Roman" w:hAnsi="Times New Roman"/>
          <w:sz w:val="19"/>
          <w:szCs w:val="19"/>
        </w:rPr>
        <w:t xml:space="preserve">All screening results are treated as confidential and stored separately from personnel files. Access is limited to authorized personnel with a legitimate business need. Results are retained in accordance with applicable federal and Texas record retention requirements and are disposed of securely when no longer required.</w:t>
      </w:r>
    </w:p>
    <w:p>
      <w:pPr>
        <w:spacing w:before="80" w:after="50"/>
      </w:pPr>
      <w:r>
        <w:rPr>
          <w:rFonts w:ascii="Times New Roman" w:cs="Times New Roman" w:eastAsia="Times New Roman" w:hAnsi="Times New Roman"/>
          <w:b/>
          <w:bCs/>
          <w:color w:val="1a3a5c"/>
          <w:sz w:val="20"/>
          <w:szCs w:val="20"/>
        </w:rPr>
        <w:t xml:space="preserve">7.  CLIENT-SPECIFIC REQUIREMENTS</w:t>
      </w:r>
    </w:p>
    <w:p>
      <w:pPr>
        <w:spacing w:after="50"/>
      </w:pPr>
      <w:r>
        <w:rPr>
          <w:rFonts w:ascii="Times New Roman" w:cs="Times New Roman" w:eastAsia="Times New Roman" w:hAnsi="Times New Roman"/>
          <w:sz w:val="19"/>
          <w:szCs w:val="19"/>
        </w:rPr>
        <w:t xml:space="preserve">Certain client contracts, including government and regulated-industry engagements, may require additional screening beyond Dominus Gray's standard policy, such as fingerprint-based criminal history checks, security clearance verification, or DOT-regulated substance testing. In such cases, Dominus Gray will comply with all client-specified and legally mandated screening requirements and will inform candidates of any additional procedures before they are initiated.</w:t>
      </w:r>
    </w:p>
    <w:p>
      <w:pPr>
        <w:spacing w:before="80" w:after="50"/>
      </w:pPr>
      <w:r>
        <w:rPr>
          <w:rFonts w:ascii="Times New Roman" w:cs="Times New Roman" w:eastAsia="Times New Roman" w:hAnsi="Times New Roman"/>
          <w:b/>
          <w:bCs/>
          <w:color w:val="1a3a5c"/>
          <w:sz w:val="20"/>
          <w:szCs w:val="20"/>
        </w:rPr>
        <w:t xml:space="preserve">8.  ACKNOWLEDGMENT</w:t>
      </w:r>
    </w:p>
    <w:p>
      <w:pPr>
        <w:spacing w:after="30"/>
      </w:pPr>
      <w:r>
        <w:rPr>
          <w:rFonts w:ascii="Times New Roman" w:cs="Times New Roman" w:eastAsia="Times New Roman" w:hAnsi="Times New Roman"/>
          <w:sz w:val="19"/>
          <w:szCs w:val="19"/>
        </w:rPr>
        <w:t xml:space="preserve">All employees and staffed professionals are required to acknowledge receipt and understanding of this policy as a condition of employment or placement.</w:t>
      </w:r>
    </w:p>
    <w:p>
      <w:pPr>
        <w:spacing w:after="100"/>
      </w:pPr>
    </w:p>
    <w:p>
      <w:pPr>
        <w:spacing w:after="10"/>
      </w:pPr>
      <w:r>
        <w:rPr>
          <w:rFonts w:ascii="Times New Roman" w:cs="Times New Roman" w:eastAsia="Times New Roman" w:hAnsi="Times New Roman"/>
          <w:sz w:val="19"/>
          <w:szCs w:val="19"/>
        </w:rPr>
        <w:t xml:space="preserve">________________________________________          ____________________</w:t>
      </w:r>
    </w:p>
    <w:p>
      <w:pPr>
        <w:spacing w:after="60"/>
      </w:pPr>
      <w:r>
        <w:rPr>
          <w:rFonts w:ascii="Times New Roman" w:cs="Times New Roman" w:eastAsia="Times New Roman" w:hAnsi="Times New Roman"/>
          <w:color w:val="555555"/>
          <w:sz w:val="17"/>
          <w:szCs w:val="17"/>
        </w:rPr>
        <w:t xml:space="preserve">Signature                                                                          Date</w:t>
      </w:r>
    </w:p>
    <w:p>
      <w:pPr>
        <w:spacing w:after="10"/>
      </w:pPr>
      <w:r>
        <w:rPr>
          <w:rFonts w:ascii="Times New Roman" w:cs="Times New Roman" w:eastAsia="Times New Roman" w:hAnsi="Times New Roman"/>
          <w:sz w:val="19"/>
          <w:szCs w:val="19"/>
        </w:rPr>
        <w:t xml:space="preserve">________________________________________          ____________________</w:t>
      </w:r>
    </w:p>
    <w:p>
      <w:pPr>
        <w:spacing w:after="0"/>
      </w:pPr>
      <w:r>
        <w:rPr>
          <w:rFonts w:ascii="Times New Roman" w:cs="Times New Roman" w:eastAsia="Times New Roman" w:hAnsi="Times New Roman"/>
          <w:color w:val="555555"/>
          <w:sz w:val="17"/>
          <w:szCs w:val="17"/>
        </w:rPr>
        <w:t xml:space="preserve">Printed Name                                                                   Title</w:t>
      </w:r>
    </w:p>
    <w:sectPr>
      <w:headerReference w:type="default" r:id="rId6"/>
      <w:footerReference w:type="default" r:id="rId7"/>
      <w:pgSz w:w="11906" w:h="16838" w:orient="portrait"/>
      <w:pgMar w:top="1080" w:right="1224" w:bottom="863"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pBdr>
      <w:spacing w:before="40"/>
    </w:pPr>
  </w:p>
  <w:p>
    <w:pPr>
      <w:jc w:val="center"/>
    </w:pPr>
    <w:r>
      <w:rPr>
        <w:rFonts w:ascii="Times New Roman" w:cs="Times New Roman" w:eastAsia="Times New Roman" w:hAnsi="Times New Roman"/>
        <w:i/>
        <w:iCs/>
        <w:color w:val="999999"/>
        <w:sz w:val="14"/>
        <w:szCs w:val="14"/>
      </w:rPr>
      <w:t xml:space="preserve">Dominus Gray, LLC  —  Employment Screening Policy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b/>
        <w:bCs/>
        <w:color w:val="1a3a5c"/>
        <w:sz w:val="26"/>
        <w:szCs w:val="26"/>
      </w:rPr>
      <w:t xml:space="preserve">DOMINUS GRAY, LLC</w:t>
    </w:r>
  </w:p>
  <w:p>
    <w:pPr>
      <w:spacing w:after="0"/>
      <w:jc w:val="center"/>
    </w:pPr>
    <w:r>
      <w:rPr>
        <w:rFonts w:ascii="Times New Roman" w:cs="Times New Roman" w:eastAsia="Times New Roman" w:hAnsi="Times New Roman"/>
        <w:color w:val="555555"/>
        <w:sz w:val="16"/>
        <w:szCs w:val="16"/>
      </w:rPr>
      <w:t xml:space="preserve">5866 East Post Oak Lane  |  Houston, Texas 77055  |  (346) 542-0471  |  odie.gray@dominusgray.com</w:t>
    </w:r>
  </w:p>
  <w:p>
    <w:pPr>
      <w:pBdr>
        <w:bottom w:val="single" w:color="1a3a5c" w:sz="2"/>
      </w:pBd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2026-02-08T02:41:02.378Z</dcterms:created>
  <dcterms:modified xsi:type="dcterms:W3CDTF">2026-02-08T02:41:02.378Z</dcterms:modified>
</cp:coreProperties>
</file>

<file path=docProps/custom.xml><?xml version="1.0" encoding="utf-8"?>
<Properties xmlns="http://schemas.openxmlformats.org/officeDocument/2006/custom-properties" xmlns:vt="http://schemas.openxmlformats.org/officeDocument/2006/docPropsVTypes"/>
</file>