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Document Request List</w:t>
      </w:r>
    </w:p>
    <w:p>
      <w:pPr>
        <w:spacing w:after="200"/>
      </w:pPr>
      <w:r>
        <w:rPr>
          <w:rFonts w:ascii="Calibri" w:cs="Calibri" w:eastAsia="Calibri" w:hAnsi="Calibri"/>
          <w:i/>
          <w:iCs/>
          <w:color w:val="475569"/>
          <w:sz w:val="26"/>
          <w:szCs w:val="26"/>
        </w:rPr>
        <w:t xml:space="preserve">Evidence &amp; Documentation Collection for CMMC Level 2 Assessment</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[CLIENT ORGANIZATION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CUI // SP-DRL</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Instructions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Send this document request list to the client within 48 hours of the signed SOW. The client should have 10–15 business days to gather and submit documentation. Track progress using the Status column. Schedule a check-in at the midpoint to address questions and missing items. Evidence should be uploaded to the secure client portal or transmitted via encrypted email.</w:t>
            </w:r>
          </w:p>
        </w:tc>
      </w:tr>
    </w:tbl>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This list identifies all documentation and evidence artifacts needed to assess your organization against the 110 NIST SP 800-171 Rev 2 requirements for CMMC Level 2. Please provide the most current version of each item. Where a document does not exist, indicate "Does Not Exist" — this is an important finding for the assessment.</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Evidence Quality</w:t>
            </w:r>
          </w:p>
          <w:p>
            <w:pPr>
              <w:spacing w:after="120" w:before="0" w:line="276"/>
              <w:jc w:val="left"/>
            </w:pPr>
            <w:r>
              <w:rPr>
                <w:rFonts w:ascii="Calibri" w:cs="Calibri" w:eastAsia="Calibri" w:hAnsi="Calibri"/>
                <w:b w:val="false"/>
                <w:bCs w:val="false"/>
                <w:i w:val="false"/>
                <w:iCs w:val="false"/>
                <w:color w:val="1E293B"/>
                <w:sz w:val="21"/>
                <w:szCs w:val="21"/>
              </w:rPr>
              <w:t xml:space="preserve">The C3PAO assessor will evaluate the same types of evidence during the official CMMC assessment. Documents should be current (reviewed within the past 12 months), formally approved, and reflective of actual practices. Draft or outdated documents weaken your assessment posture.</w:t>
            </w:r>
          </w:p>
        </w:tc>
      </w:tr>
    </w:tbl>
    <w:p>
      <w:r>
        <w:br w:type="page"/>
      </w:r>
    </w:p>
    <w:p>
      <w:pPr>
        <w:pStyle w:val="Heading1"/>
        <w:spacing w:before="240" w:after="120"/>
      </w:pPr>
      <w:r>
        <w:rPr>
          <w:rFonts w:ascii="Calibri" w:cs="Calibri" w:eastAsia="Calibri" w:hAnsi="Calibri"/>
          <w:b/>
          <w:bCs/>
          <w:color w:val="0F172A"/>
          <w:sz w:val="32"/>
          <w:szCs w:val="32"/>
        </w:rPr>
        <w:t xml:space="preserve">Category 1: Core Security Documentation</w:t>
      </w:r>
    </w:p>
    <w:p>
      <w:pPr>
        <w:spacing w:after="120" w:before="0" w:line="276"/>
        <w:jc w:val="left"/>
      </w:pPr>
      <w:r>
        <w:rPr>
          <w:rFonts w:ascii="Calibri" w:cs="Calibri" w:eastAsia="Calibri" w:hAnsi="Calibri"/>
          <w:b w:val="false"/>
          <w:bCs w:val="false"/>
          <w:i w:val="false"/>
          <w:iCs w:val="false"/>
          <w:color w:val="1E293B"/>
          <w:sz w:val="22"/>
          <w:szCs w:val="22"/>
        </w:rPr>
        <w:t xml:space="preserve">These are the foundational documents the assessor will request first:</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NIST 800-171 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System Security Plan (SSP)</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All 110 controls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Plan of Action &amp; Milestones (POA&amp;M)</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3.12.2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Network architecture diagram</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3.13.1, 3.13.2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Data flow diagram (CUI flows)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3.1.3</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System boundary documentation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System interconnection agreements (ISAs/MOUs)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3.1.20, 3.12.4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Hardware asset inventory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3.4.1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Software asset inventory</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3.4.1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Previous assessment reports (NIST 800-171, DIBCAC)</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N/A</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1.10</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SPRS score and assessment documentation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N/A</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2: Access Control (AC)</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Access control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3.1.1–3.1.22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Account management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User access request/approval forms (sample)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Active Directory/IAM user listing with roles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3.1.1, 3.1.2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Privileged account listing</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3.1.5, 3.1.6</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Access review/recertification records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3.1.5</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Group Policy/RBAC configuration export</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3.1.2, 3.1.5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VPN configuration documentation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3.1.12, 3.1.13, 3.1.14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Wireless network 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3.1.16, 3.1.17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2.10</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MDM policy and enrolled device listing</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3.1.18, 3.1.19</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DLP policy 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2.12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Account lockout policy settings (screenshot)</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2.13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Session timeout/lock policy settings (screenshot)</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3.1.10, 3.1.11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2.14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Login banner text (screenshot)</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3.1.9</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3: Awareness &amp; Training (AT)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3.1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Security awareness training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3.2.1–3.2.3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3.2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Training curriculum/content outline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3.2.1, 3.2.2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3.3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Training completion records (last 12 months)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3.2.1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3.4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Role-based training records (admins, developers)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3.2.2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3.5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Insider threat awareness training content</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3.2.3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3.6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Phishing simulation results (if conducted)</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3.2.1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3.7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New hire training requirements and records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3.2.1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4: Audit &amp; Accountability (AU)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4.1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Audit and accountability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3.3.1–3.3.9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4.2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SIEM/log management configuration and architecture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3.3.1, 3.3.5</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4.3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List of audited events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3.3.3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4.4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Sample audit log output (sanitized)</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3.3.1, 3.3.2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4.5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Audit log retention policy/configuration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3.3.1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4.6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Audit review procedures and evidence of reviews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3.3.5</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4.7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NTP configuration (time synchronization)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3.3.7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4.8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Audit log access controls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3.3.8, 3.3.9</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4.9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Audit failure alerting 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3.3.4</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5: Configuration Management (CM)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5.1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Configuration management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3.4.1–3.4.9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5.2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Baseline configuration documents (CIS/STIG)</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3.4.1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5.3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Configuration compliance scan results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3.4.2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5.4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Change management process documentation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3.4.3</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5.5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Sample change request records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3.4.3, 3.4.4</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5.6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Application whitelisting policy/configuration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3.4.8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5.7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Software installation restrictions (GPO/config)</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3.4.9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5.8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Unnecessary services/ports disabled (evidence)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3.4.6, 3.4.7</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6: Identification &amp; Authentication (IA)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6.1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Identification and authentication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3.5.1–3.5.11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6.2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MFA configuration and coverage documentation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3.5.3</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6.3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Password policy settings (screenshots)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3.5.7, 3.5.8</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6.4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Account inactivity disablement configuration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3.5.6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6.5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Temporary password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3.5.9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6.6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Authentication logging configuration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3.5.2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7: Incident Response (IR)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7.1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Incident response plan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3.6.1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7.2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IR team roster and contact information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3.6.1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7.3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IR reporting procedures (internal and DCISE)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3.6.2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7.4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Incident tracking records (sanitized samples)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3.6.2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7.5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Tabletop exercise documentation (last 12 months)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3.6.3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7.6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Lessons learned documentation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3.6.3</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8: Maintenance (MA)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8.1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System maintenance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3.7.1–3.7.6</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8.2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Maintenance schedule and records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3.7.1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8.3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Remote maintenance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3.7.5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8.4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Maintenance personnel authorization records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3.7.6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8.5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Equipment sanitization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3.7.3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pPr>
        <w:pStyle w:val="Heading1"/>
        <w:spacing w:before="240" w:after="120"/>
      </w:pPr>
      <w:r>
        <w:rPr>
          <w:rFonts w:ascii="Calibri" w:cs="Calibri" w:eastAsia="Calibri" w:hAnsi="Calibri"/>
          <w:b/>
          <w:bCs/>
          <w:color w:val="0F172A"/>
          <w:sz w:val="32"/>
          <w:szCs w:val="32"/>
        </w:rPr>
        <w:t xml:space="preserve">Category 9: Media Protection (MP)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9.1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Media protection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3.8.1–3.8.9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9.2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Media sanitization/destruction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3.8.3</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9.3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Media sanitization records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3.8.3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9.4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Removable media policy and controls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3.8.7</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9.5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CUI marking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3.8.4</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9.6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Encryption configuration for portable media</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3.8.6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9.7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Backup media storage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3.8.9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10: Physical Protection (PE)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10.1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Physical security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3.10.1–3.10.6</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10.2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Physical access authorization list</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3.10.1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10.3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Visitor management procedures and sample logs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3.10.3, 3.10.4</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10.4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Surveillance/monitoring system documentation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3.10.2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10.5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Environmental controls documentation (HVAC, fire, UPS)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3.10.2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10.6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Telework/remote work security policy</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3.10.6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pPr>
        <w:pStyle w:val="Heading1"/>
        <w:spacing w:before="240" w:after="120"/>
      </w:pPr>
      <w:r>
        <w:rPr>
          <w:rFonts w:ascii="Calibri" w:cs="Calibri" w:eastAsia="Calibri" w:hAnsi="Calibri"/>
          <w:b/>
          <w:bCs/>
          <w:color w:val="0F172A"/>
          <w:sz w:val="32"/>
          <w:szCs w:val="32"/>
        </w:rPr>
        <w:t xml:space="preserve">Category 11: Personnel Security (PS)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Personnel security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3.9.1, 3.9.2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11.2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Background investigation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3.9.1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11.3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Employee termination/offboarding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3.9.2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11.4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Employee transfer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3.9.2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11.5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Sample termination checklist (completed)</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3.9.2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12: Risk Assessment (RA)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12.1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Risk assessment policy/methodology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12.2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Most recent risk assessment report</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3.11.1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12.3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Vulnerability scan reports (last 90 days)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12.4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Vulnerability remediation records/tracking</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3.11.3</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12.5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Penetration test report (if conducted)</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3.11.2</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pPr>
        <w:pStyle w:val="Heading1"/>
        <w:spacing w:before="240" w:after="120"/>
      </w:pPr>
      <w:r>
        <w:rPr>
          <w:rFonts w:ascii="Calibri" w:cs="Calibri" w:eastAsia="Calibri" w:hAnsi="Calibri"/>
          <w:b/>
          <w:bCs/>
          <w:color w:val="0F172A"/>
          <w:sz w:val="32"/>
          <w:szCs w:val="32"/>
        </w:rPr>
        <w:t xml:space="preserve">Category 13: Security Assessment (CA)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13.1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Security assessment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3.12.1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13.2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Most recent security assessment report</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3.12.1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13.3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Continuous monitoring strategy/plan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3.12.3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13.4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POA&amp;M management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3.12.2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Category 14: System &amp; Communications Protection (SC)</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14.1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System and communications protection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3.13.1–3.13.16</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14.2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Firewall rule sets (sanitized)</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3.13.1, 3.13.6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14.3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IDS/IPS 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14.4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Encryption at rest configuration (BitLocker, TDE, etc.)</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3.13.16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14.5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Encryption in transit configuration (TLS, VPN)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3.13.8</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14.6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FIPS 140-2 validation certificates for crypto modules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3.13.11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14.7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Split tunneling configuration (VPN)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14.8</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DNS filtering/security configuration</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3.13.1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14.9</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Web application firewall (WAF) 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3.13.5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14.10</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Key management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3.13.10</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bl>
    <w:p>
      <w:pPr>
        <w:pStyle w:val="Heading1"/>
        <w:spacing w:before="240" w:after="120"/>
      </w:pPr>
      <w:r>
        <w:rPr>
          <w:rFonts w:ascii="Calibri" w:cs="Calibri" w:eastAsia="Calibri" w:hAnsi="Calibri"/>
          <w:b/>
          <w:bCs/>
          <w:color w:val="0F172A"/>
          <w:sz w:val="32"/>
          <w:szCs w:val="32"/>
        </w:rPr>
        <w:t xml:space="preserve">Category 15: System &amp; Information Integrity (SI)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Document/Evidence</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Controls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Date Received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15.1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System and information integrity policy</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3.14.1–3.14.7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15.2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Patch management policy and procedures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3.14.1</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15.3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Patch compliance reports (last 90 days)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3.14.1</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15.4</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Antivirus/EDR deployment and status report</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3.14.2</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15.5</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Security alert monitoring procedures</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3.14.3</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EFF6FF" w:val="solid"/>
            <w:vAlign w:val="center"/>
          </w:tcPr>
          <w:p>
            <w:pPr>
              <w:spacing w:before="30" w:after="30"/>
              <w:jc w:val="left"/>
            </w:pPr>
            <w:r>
              <w:rPr>
                <w:rFonts w:ascii="Calibri" w:cs="Calibri" w:eastAsia="Calibri" w:hAnsi="Calibri"/>
                <w:color w:val="1E293B"/>
                <w:sz w:val="20"/>
                <w:szCs w:val="20"/>
              </w:rPr>
              <w:t xml:space="preserve">15.6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SIEM monitoring rules/use cases</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3.14.5, 3.14.6</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6%"/>
            <w:shd w:color="FFFFFF" w:val="solid"/>
            <w:vAlign w:val="center"/>
          </w:tcPr>
          <w:p>
            <w:pPr>
              <w:spacing w:before="30" w:after="30"/>
              <w:jc w:val="left"/>
            </w:pPr>
            <w:r>
              <w:rPr>
                <w:rFonts w:ascii="Calibri" w:cs="Calibri" w:eastAsia="Calibri" w:hAnsi="Calibri"/>
                <w:color w:val="1E293B"/>
                <w:sz w:val="20"/>
                <w:szCs w:val="20"/>
              </w:rPr>
              <w:t xml:space="preserve">15.7</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Malware definition update configuration</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3.14.4</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Evidence Submission Tracker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Total items requested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118</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Items received</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Items pending</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Items marked "Does Not Exist"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Collection start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Target completion date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Days elapsed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59669" w:sz="1"/>
              <w:left w:val="single" w:color="059669" w:sz="12"/>
              <w:bottom w:val="single" w:color="059669" w:sz="1"/>
              <w:right w:val="single" w:color="059669" w:sz="1"/>
            </w:tcBorders>
            <w:shd w:color="ECFDF5" w:val="solid"/>
          </w:tcPr>
          <w:p>
            <w:pPr>
              <w:spacing w:after="60"/>
            </w:pPr>
            <w:r>
              <w:rPr>
                <w:rFonts w:ascii="Calibri" w:cs="Calibri" w:eastAsia="Calibri" w:hAnsi="Calibri"/>
                <w:b/>
                <w:bCs/>
                <w:color w:val="059669"/>
                <w:sz w:val="22"/>
                <w:szCs w:val="22"/>
              </w:rPr>
              <w:t xml:space="preserve">✓ Collection Status</w:t>
            </w:r>
          </w:p>
          <w:p>
            <w:pPr>
              <w:spacing w:after="120" w:before="0" w:line="276"/>
              <w:jc w:val="left"/>
            </w:pPr>
            <w:r>
              <w:rPr>
                <w:rFonts w:ascii="Calibri" w:cs="Calibri" w:eastAsia="Calibri" w:hAnsi="Calibri"/>
                <w:b w:val="false"/>
                <w:bCs w:val="false"/>
                <w:i w:val="false"/>
                <w:iCs w:val="false"/>
                <w:color w:val="1E293B"/>
                <w:sz w:val="21"/>
                <w:szCs w:val="21"/>
              </w:rPr>
              <w:t xml:space="preserve">Update this tracker weekly and share with the client POC. Items marked "Does Not Exist" represent potential gaps that will be addressed in the assessment findings.</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CUI // SP-DRL</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CMMC Assessment Document Request List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CMMC Assessment Document Request List</dc:title>
  <dc:creator>Dominus Gray, LLC</dc:creator>
  <dc:description>Comprehensive evidence collection checklist for CMMC Level 2 assessments</dc:description>
  <cp:lastModifiedBy>Un-named</cp:lastModifiedBy>
  <cp:revision>1</cp:revision>
  <dcterms:created xsi:type="dcterms:W3CDTF">2026-02-12T06:25:38.840Z</dcterms:created>
  <dcterms:modified xsi:type="dcterms:W3CDTF">2026-02-12T06:25:38.840Z</dcterms:modified>
</cp:coreProperties>
</file>

<file path=docProps/custom.xml><?xml version="1.0" encoding="utf-8"?>
<Properties xmlns="http://schemas.openxmlformats.org/officeDocument/2006/custom-properties" xmlns:vt="http://schemas.openxmlformats.org/officeDocument/2006/docPropsVTypes"/>
</file>