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60" w:after="0"/>
      </w:pPr>
    </w:p>
    <w:p>
      <w:pPr>
        <w:pBdr>
          <w:bottom w:val="single" w:color="B8860B" w:sz="8"/>
        </w:pBdr>
        <w:spacing w:after="0"/>
      </w:pPr>
    </w:p>
    <w:p>
      <w:pPr>
        <w:spacing w:before="120" w:after="0"/>
      </w:pPr>
    </w:p>
    <w:p>
      <w:pPr>
        <w:spacing w:after="120"/>
        <w:jc w:val="left"/>
      </w:pPr>
      <w:r>
        <w:rPr>
          <w:rFonts w:ascii="Calibri" w:cs="Calibri" w:eastAsia="Calibri" w:hAnsi="Calibri"/>
          <w:b/>
          <w:bCs/>
          <w:caps/>
          <w:color w:val="3B82F6"/>
          <w:sz w:val="20"/>
          <w:szCs w:val="20"/>
        </w:rPr>
        <w:t xml:space="preserve">DOMINUS GRAY, LLC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72A"/>
          <w:sz w:val="48"/>
          <w:szCs w:val="48"/>
        </w:rPr>
        <w:t xml:space="preserve">Incident Response Plan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475569"/>
          <w:sz w:val="26"/>
          <w:szCs w:val="26"/>
        </w:rPr>
        <w:t xml:space="preserve">NIST SP 800-61 Rev 2 &amp; DFARS 252.204-7012 Compliance</w:t>
      </w:r>
    </w:p>
    <w:p>
      <w:pPr>
        <w:pBdr>
          <w:bottom w:val="single" w:color="E2E8F0" w:sz="4"/>
        </w:pBdr>
        <w:spacing w:after="0"/>
      </w:pPr>
    </w:p>
    <w:p>
      <w:pPr>
        <w:spacing w:before="240" w:after="0"/>
      </w:pP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Prepared For: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[CLIENT ORGANIZATION NAME]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Prepared By: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Dominus Gray, LLC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Date: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[DATE]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Version: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1.0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Classification: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CUI // SP-IRP</w:t>
      </w:r>
    </w:p>
    <w:p>
      <w:pPr>
        <w:spacing w:before="480" w:after="0"/>
      </w:pPr>
    </w:p>
    <w:p>
      <w:pPr>
        <w:jc w:val="left"/>
      </w:pPr>
      <w:r>
        <w:rPr>
          <w:rFonts w:ascii="Calibri" w:cs="Calibri" w:eastAsia="Calibri" w:hAnsi="Calibri"/>
          <w:i/>
          <w:iCs/>
          <w:color w:val="475569"/>
          <w:sz w:val="20"/>
          <w:szCs w:val="20"/>
        </w:rPr>
        <w:t xml:space="preserve">— CONFIDENTIAL —</w:t>
      </w:r>
    </w:p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Document Control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6"/>
              <w:bottom w:val="single" w:color="D97706" w:sz="1"/>
              <w:right w:val="single" w:color="D97706" w:sz="1"/>
            </w:tcBorders>
            <w:shd w:color="FFF3CD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8"/>
                <w:szCs w:val="18"/>
              </w:rPr>
              <w:t xml:space="preserve">📝 CONSULTANT INSTRUCTIONS (Delete this box before delivery)</w:t>
            </w:r>
          </w:p>
          <w:p>
            <w:r>
              <w:rPr>
                <w:rFonts w:ascii="Calibri" w:cs="Calibri" w:eastAsia="Calibri" w:hAnsi="Calibri"/>
                <w:i/>
                <w:iCs/>
                <w:color w:val="92400E"/>
                <w:sz w:val="18"/>
                <w:szCs w:val="18"/>
              </w:rPr>
              <w:t xml:space="preserve">This IRP must be reviewed and updated at least annually or after any significant incident. Ensure all contact information is current. Test the plan through tabletop exercises at least annually.</w:t>
            </w:r>
          </w:p>
        </w:tc>
      </w:tr>
    </w:tbl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1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Version</w:t>
            </w:r>
          </w:p>
        </w:tc>
        <w:tc>
          <w:tcPr>
            <w:tcW w:type="pct" w:w="1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Author</w:t>
            </w:r>
          </w:p>
        </w:tc>
        <w:tc>
          <w:tcPr>
            <w:tcW w:type="pct" w:w="4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Changes</w:t>
            </w:r>
          </w:p>
        </w:tc>
      </w:tr>
      <w:tr>
        <w:trPr>
          <w:trHeight w:val="340" w:hRule="atLeast"/>
        </w:trPr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1.0</w:t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[AUTHOR]</w:t>
            </w:r>
          </w:p>
        </w:tc>
        <w:tc>
          <w:tcPr>
            <w:tcW w:type="pct" w:w="4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Initial IRP</w:t>
            </w:r>
          </w:p>
        </w:tc>
      </w:tr>
      <w:tr>
        <w:trPr>
          <w:trHeight w:val="340" w:hRule="atLeast"/>
        </w:trPr>
        <w:tc>
          <w:tcPr>
            <w:tcW w:type="pct" w:w="1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4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1. Purpose and Scope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This Incident Response Plan (IRP) establishes the procedures and responsibilities for detecting, analyzing, containing, eradicating, and recovering from cybersecurity incidents affecting Controlled Unclassified Information (CUI) and organizational information systems.</w:t>
      </w:r>
    </w:p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1.1 Scope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This plan applies to: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All information systems that process, store, or transmit CUI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All personnel with access to organizational information systems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All third-party service providers with access to CUI systems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All locations where CUI is processed, stored, or transmitted</w:t>
      </w:r>
    </w:p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1.2 Regulatory Requirements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12"/>
              <w:bottom w:val="single" w:color="D97706" w:sz="1"/>
              <w:right w:val="single" w:color="D97706" w:sz="1"/>
            </w:tcBorders>
            <w:shd w:color="FFFBEB" w:val="solid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22"/>
                <w:szCs w:val="22"/>
              </w:rPr>
              <w:t xml:space="preserve">⚠ DFARS 252.204-7012 Requirements</w:t>
            </w:r>
          </w:p>
          <w:p>
            <w:pPr>
              <w:spacing w:after="120" w:before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E293B"/>
                <w:sz w:val="22"/>
                <w:szCs w:val="22"/>
              </w:rPr>
              <w:t xml:space="preserve">Defense contractors must report cyber incidents to DCISE within 72 hours of discovery. Key requirements: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rFonts w:ascii="Calibri" w:cs="Calibri" w:eastAsia="Calibri" w:hAnsi="Calibri"/>
                <w:color w:val="1E293B"/>
                <w:sz w:val="22"/>
                <w:szCs w:val="22"/>
              </w:rPr>
              <w:t xml:space="preserve">Report via DCISE portal (https://dcise.cyber.mil) — DIBNet was decommissioned June 2025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rFonts w:ascii="Calibri" w:cs="Calibri" w:eastAsia="Calibri" w:hAnsi="Calibri"/>
                <w:color w:val="1E293B"/>
                <w:sz w:val="22"/>
                <w:szCs w:val="22"/>
              </w:rPr>
              <w:t xml:space="preserve">Preserve images of affected systems for 90 days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rFonts w:ascii="Calibri" w:cs="Calibri" w:eastAsia="Calibri" w:hAnsi="Calibri"/>
                <w:color w:val="1E293B"/>
                <w:sz w:val="22"/>
                <w:szCs w:val="22"/>
              </w:rPr>
              <w:t xml:space="preserve">Provide DoD access to affected media and additional information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rFonts w:ascii="Calibri" w:cs="Calibri" w:eastAsia="Calibri" w:hAnsi="Calibri"/>
                <w:color w:val="1E293B"/>
                <w:sz w:val="22"/>
                <w:szCs w:val="22"/>
              </w:rPr>
              <w:t xml:space="preserve">Submit malicious software samples to DoD Cyber Crime Center (DC3)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2. Incident Response Team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6"/>
              <w:bottom w:val="single" w:color="D97706" w:sz="1"/>
              <w:right w:val="single" w:color="D97706" w:sz="1"/>
            </w:tcBorders>
            <w:shd w:color="FFF3CD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8"/>
                <w:szCs w:val="18"/>
              </w:rPr>
              <w:t xml:space="preserve">📝 CONSULTANT INSTRUCTIONS (Delete this box before delivery)</w:t>
            </w:r>
          </w:p>
          <w:p>
            <w:r>
              <w:rPr>
                <w:rFonts w:ascii="Calibri" w:cs="Calibri" w:eastAsia="Calibri" w:hAnsi="Calibri"/>
                <w:i/>
                <w:iCs/>
                <w:color w:val="92400E"/>
                <w:sz w:val="18"/>
                <w:szCs w:val="18"/>
              </w:rPr>
              <w:t xml:space="preserve">Populate with actual client personnel. Include after-hours contact methods. Consider cross-training backup personnel for each role.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2.1 IRT Members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1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Primary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Phone</w:t>
            </w:r>
          </w:p>
        </w:tc>
        <w:tc>
          <w:tcPr>
            <w:tcW w:type="pct" w:w="2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Email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Backup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Incident Commander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[NAME]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[PHONE]</w:t>
            </w:r>
          </w:p>
        </w:tc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[EMAIL]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[BACKUP NAME]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Technical Lead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[NAME]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[PHONE]</w:t>
            </w:r>
          </w:p>
        </w:tc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[EMAIL]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[BACKUP NAME]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Communications Lead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[NAME]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[PHONE]</w:t>
            </w:r>
          </w:p>
        </w:tc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[EMAIL]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[BACKUP NAME]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Legal Counsel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[NAME]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[PHONE]</w:t>
            </w:r>
          </w:p>
        </w:tc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[EMAIL]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[BACKUP NAME]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HR Representative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[NAME]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[PHONE]</w:t>
            </w:r>
          </w:p>
        </w:tc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[EMAIL]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[BACKUP NAME]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Forensics Analyst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[NAME/VENDOR]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[PHONE]</w:t>
            </w:r>
          </w:p>
        </w:tc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[EMAIL]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[BACKUP]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2.2 External Contacts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Organization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Contact</w:t>
            </w:r>
          </w:p>
        </w:tc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Phone</w:t>
            </w:r>
          </w:p>
        </w:tc>
        <w:tc>
          <w:tcPr>
            <w:tcW w:type="pct" w:w="3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DCISE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https://dcise.cyber.mil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(410) 981-0104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DoD cyber incident reporting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FBI Cyber Division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[Local field office]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[PHONE]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Law enforcement coordination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CISA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report@cisa.gov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(888) 282-0870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Critical infrastructure incidents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Cyber Insurance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[CARRIER]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[PHONE]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Claims and breach coach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Forensics Vendor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[VENDOR]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[PHONE]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Digital forensics support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Legal Counsel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[FIRM]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[PHONE]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Breach notification, litigation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PR/Communications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[FIRM]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[PHONE]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Public communications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3. Incident Categories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Incidents are classified by severity to determine response urgency and escalation requirements: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Severity</w:t>
            </w:r>
          </w:p>
        </w:tc>
        <w:tc>
          <w:tcPr>
            <w:tcW w:type="pct" w:w="3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Response Time</w:t>
            </w:r>
          </w:p>
        </w:tc>
        <w:tc>
          <w:tcPr>
            <w:tcW w:type="pct" w:w="3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Escalation</w:t>
            </w:r>
          </w:p>
        </w:tc>
      </w:tr>
      <w:tr>
        <w:trPr>
          <w:trHeight w:val="340" w:hRule="atLeast"/>
        </w:trPr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Critical (P1)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Active data exfiltration, ransomware, CUI compromise confirmed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&lt; 1 hour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CEO, Legal, DCISE within 72 hrs</w:t>
            </w:r>
          </w:p>
        </w:tc>
      </w:tr>
      <w:tr>
        <w:trPr>
          <w:trHeight w:val="340" w:hRule="atLeast"/>
        </w:trPr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High (P2)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Confirmed intrusion, malware, unauthorized access to CUI systems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&lt; 4 hours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CISO, IRT activation</w:t>
            </w:r>
          </w:p>
        </w:tc>
      </w:tr>
      <w:tr>
        <w:trPr>
          <w:trHeight w:val="340" w:hRule="atLeast"/>
        </w:trPr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Medium (P3)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Suspicious activity, policy violations, phishing with credential entry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&lt; 24 hours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ISSO, IT Security team</w:t>
            </w:r>
          </w:p>
        </w:tc>
      </w:tr>
      <w:tr>
        <w:trPr>
          <w:trHeight w:val="340" w:hRule="atLeast"/>
        </w:trPr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Low (P4)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Failed attacks, minor policy violations, suspicious emails (no click)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&lt; 72 hours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IT Security team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3.1 Incident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1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3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Examples</w:t>
            </w:r>
          </w:p>
        </w:tc>
        <w:tc>
          <w:tcPr>
            <w:tcW w:type="pct" w:w="17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Typical Severity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Malware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Malicious software infection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Ransomware, trojan, worm, RAT</w:t>
            </w:r>
          </w:p>
        </w:tc>
        <w:tc>
          <w:tcPr>
            <w:tcW w:type="pct" w:w="17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P1-P2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Unauthorized Access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Access by unauthorized entity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Credential theft, privilege escalation</w:t>
            </w:r>
          </w:p>
        </w:tc>
        <w:tc>
          <w:tcPr>
            <w:tcW w:type="pct" w:w="17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P1-P2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Data Breach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Unauthorized data disclosure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CUI exfiltration, email to wrong recipient</w:t>
            </w:r>
          </w:p>
        </w:tc>
        <w:tc>
          <w:tcPr>
            <w:tcW w:type="pct" w:w="17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P1-P2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Denial of Service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Service disruption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DDoS, resource exhaustion</w:t>
            </w:r>
          </w:p>
        </w:tc>
        <w:tc>
          <w:tcPr>
            <w:tcW w:type="pct" w:w="17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P2-P3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Insider Threat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Malicious insider activity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Data theft, sabotage, policy violation</w:t>
            </w:r>
          </w:p>
        </w:tc>
        <w:tc>
          <w:tcPr>
            <w:tcW w:type="pct" w:w="17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P1-P3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Social Engineering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Deception-based attacks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Phishing, vishing, pretexting</w:t>
            </w:r>
          </w:p>
        </w:tc>
        <w:tc>
          <w:tcPr>
            <w:tcW w:type="pct" w:w="17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P2-P4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Physical Security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Physical breach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Unauthorized facility access, theft</w:t>
            </w:r>
          </w:p>
        </w:tc>
        <w:tc>
          <w:tcPr>
            <w:tcW w:type="pct" w:w="17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P2-P3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4. Incident Response Phases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This IRP follows the NIST SP 800-61 Rev 2 incident response lifecycle:</w:t>
      </w:r>
    </w:p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4.1 Phase 1 — Preparation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Preparation activities to enable effective incident response:</w:t>
      </w:r>
    </w:p>
    <w:p>
      <w:pPr>
        <w:spacing w:before="120" w:after="0"/>
      </w:pPr>
    </w:p>
    <w:p>
      <w:pPr>
        <w:pStyle w:val="Heading3"/>
        <w:spacing w:before="240" w:after="120"/>
      </w:pPr>
      <w:r>
        <w:rPr>
          <w:rFonts w:ascii="Calibri" w:cs="Calibri" w:eastAsia="Calibri" w:hAnsi="Calibri"/>
          <w:b/>
          <w:bCs/>
          <w:color w:val="3B82F6"/>
          <w:sz w:val="22"/>
          <w:szCs w:val="22"/>
        </w:rPr>
        <w:t xml:space="preserve">4.1.1 Tools and Resources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pct" w:w="3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Tool/Resource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pct" w:w="2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</w:tr>
      <w:tr>
        <w:trPr>
          <w:trHeight w:val="340" w:hRule="atLeast"/>
        </w:trPr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SIEM/Log Management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[TOOL]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[LOCATION]</w:t>
            </w:r>
          </w:p>
        </w:tc>
        <w:tc>
          <w:tcPr>
            <w:tcW w:type="pct" w:w="2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[OWNER]</w:t>
            </w:r>
          </w:p>
        </w:tc>
      </w:tr>
      <w:tr>
        <w:trPr>
          <w:trHeight w:val="340" w:hRule="atLeast"/>
        </w:trPr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EDR/Antimalware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[TOOL]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[LOCATION]</w:t>
            </w:r>
          </w:p>
        </w:tc>
        <w:tc>
          <w:tcPr>
            <w:tcW w:type="pct" w:w="2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[OWNER]</w:t>
            </w:r>
          </w:p>
        </w:tc>
      </w:tr>
      <w:tr>
        <w:trPr>
          <w:trHeight w:val="340" w:hRule="atLeast"/>
        </w:trPr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Network Monitoring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[TOOL]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[LOCATION]</w:t>
            </w:r>
          </w:p>
        </w:tc>
        <w:tc>
          <w:tcPr>
            <w:tcW w:type="pct" w:w="2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[OWNER]</w:t>
            </w:r>
          </w:p>
        </w:tc>
      </w:tr>
      <w:tr>
        <w:trPr>
          <w:trHeight w:val="340" w:hRule="atLeast"/>
        </w:trPr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Forensics Toolkit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[TOOL]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[LOCATION]</w:t>
            </w:r>
          </w:p>
        </w:tc>
        <w:tc>
          <w:tcPr>
            <w:tcW w:type="pct" w:w="2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[OWNER]</w:t>
            </w:r>
          </w:p>
        </w:tc>
      </w:tr>
      <w:tr>
        <w:trPr>
          <w:trHeight w:val="340" w:hRule="atLeast"/>
        </w:trPr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Backup System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[TOOL]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[LOCATION]</w:t>
            </w:r>
          </w:p>
        </w:tc>
        <w:tc>
          <w:tcPr>
            <w:tcW w:type="pct" w:w="2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[OWNER]</w:t>
            </w:r>
          </w:p>
        </w:tc>
      </w:tr>
      <w:tr>
        <w:trPr>
          <w:trHeight w:val="340" w:hRule="atLeast"/>
        </w:trPr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Communication (OOB)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[TOOL — e.g., Signal, satellite phone]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[N/A]</w:t>
            </w:r>
          </w:p>
        </w:tc>
        <w:tc>
          <w:tcPr>
            <w:tcW w:type="pct" w:w="2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[OWNER]</w:t>
            </w:r>
          </w:p>
        </w:tc>
      </w:tr>
    </w:tbl>
    <w:p>
      <w:pPr>
        <w:spacing w:before="120" w:after="0"/>
      </w:pPr>
    </w:p>
    <w:p>
      <w:pPr>
        <w:pStyle w:val="Heading3"/>
        <w:spacing w:before="240" w:after="120"/>
      </w:pPr>
      <w:r>
        <w:rPr>
          <w:rFonts w:ascii="Calibri" w:cs="Calibri" w:eastAsia="Calibri" w:hAnsi="Calibri"/>
          <w:b/>
          <w:bCs/>
          <w:color w:val="3B82F6"/>
          <w:sz w:val="22"/>
          <w:szCs w:val="22"/>
        </w:rPr>
        <w:t xml:space="preserve">4.1.2 Preparation Checklist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IRT members trained and roles documented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Jump bags prepared with forensics tools and supplies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Out-of-band communication channels established and tested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Contact lists current and distributed to all IRT members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Incident ticketing system configured and accessible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Network diagrams and asset inventory current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Backup and recovery procedures tested within last [90 days]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Tabletop exercise completed within last [12 months]</w:t>
      </w:r>
    </w:p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4.2 Phase 2 — Detection and Analysis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6"/>
              <w:bottom w:val="single" w:color="D97706" w:sz="1"/>
              <w:right w:val="single" w:color="D97706" w:sz="1"/>
            </w:tcBorders>
            <w:shd w:color="FFF3CD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8"/>
                <w:szCs w:val="18"/>
              </w:rPr>
              <w:t xml:space="preserve">📝 CONSULTANT INSTRUCTIONS (Delete this box before delivery)</w:t>
            </w:r>
          </w:p>
          <w:p>
            <w:r>
              <w:rPr>
                <w:rFonts w:ascii="Calibri" w:cs="Calibri" w:eastAsia="Calibri" w:hAnsi="Calibri"/>
                <w:i/>
                <w:iCs/>
                <w:color w:val="92400E"/>
                <w:sz w:val="18"/>
                <w:szCs w:val="18"/>
              </w:rPr>
              <w:t xml:space="preserve">Document client-specific detection sources and analysis procedures. Reference their actual SIEM, EDR, and monitoring tools.</w:t>
            </w:r>
          </w:p>
        </w:tc>
      </w:tr>
    </w:tbl>
    <w:p>
      <w:pPr>
        <w:spacing w:before="120" w:after="0"/>
      </w:pPr>
    </w:p>
    <w:p>
      <w:pPr>
        <w:pStyle w:val="Heading3"/>
        <w:spacing w:before="240" w:after="120"/>
      </w:pPr>
      <w:r>
        <w:rPr>
          <w:rFonts w:ascii="Calibri" w:cs="Calibri" w:eastAsia="Calibri" w:hAnsi="Calibri"/>
          <w:b/>
          <w:bCs/>
          <w:color w:val="3B82F6"/>
          <w:sz w:val="22"/>
          <w:szCs w:val="22"/>
        </w:rPr>
        <w:t xml:space="preserve">4.2.1 Detection Sources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SIEM alerts and correlation rules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EDR/antimalware detections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IDS/IPS alerts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User reports and help desk tickets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Network traffic anomalies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Vulnerability scan results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Third-party threat intelligence feeds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Law enforcement notifications</w:t>
      </w:r>
    </w:p>
    <w:p>
      <w:pPr>
        <w:spacing w:before="120" w:after="0"/>
      </w:pPr>
    </w:p>
    <w:p>
      <w:pPr>
        <w:pStyle w:val="Heading3"/>
        <w:spacing w:before="240" w:after="120"/>
      </w:pPr>
      <w:r>
        <w:rPr>
          <w:rFonts w:ascii="Calibri" w:cs="Calibri" w:eastAsia="Calibri" w:hAnsi="Calibri"/>
          <w:b/>
          <w:bCs/>
          <w:color w:val="3B82F6"/>
          <w:sz w:val="22"/>
          <w:szCs w:val="22"/>
        </w:rPr>
        <w:t xml:space="preserve">4.2.2 Initial Analysis Procedures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Upon detection of a potential incident: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Step 1: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Validate the alert — determine if it is a true positive, false positive, or requires further investigation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Step 2: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Determine scope — identify affected systems, users, and data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Step 3: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Classify severity — assign P1-P4 based on severity matrix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Step 4: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Assign incident number — format: INC-YYYY-MMDD-XXX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Step 5: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Notify IRT — escalate per severity requirements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Step 6: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Begin evidence preservation — start chain of custody documentation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Step 7: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Determine if CUI is involved — if yes, begin DFARS 72-hour clock</w:t>
      </w:r>
    </w:p>
    <w:p>
      <w:r>
        <w:br w:type="page"/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4.3 Phase 3 — Containment</w:t>
      </w:r>
    </w:p>
    <w:p>
      <w:pPr>
        <w:pStyle w:val="Heading3"/>
        <w:spacing w:before="240" w:after="120"/>
      </w:pPr>
      <w:r>
        <w:rPr>
          <w:rFonts w:ascii="Calibri" w:cs="Calibri" w:eastAsia="Calibri" w:hAnsi="Calibri"/>
          <w:b/>
          <w:bCs/>
          <w:color w:val="3B82F6"/>
          <w:sz w:val="22"/>
          <w:szCs w:val="22"/>
        </w:rPr>
        <w:t xml:space="preserve">4.3.1 Short-Term Containment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Immediate actions to prevent further damage: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Isolate affected systems from the network (do NOT power off — preserve volatile memory)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Block malicious IPs, domains, and hashes at perimeter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Disable compromised accounts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Capture memory dumps and disk images of affected systems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Redirect DNS if necessary to prevent C2 communication</w:t>
      </w:r>
    </w:p>
    <w:p>
      <w:pPr>
        <w:spacing w:before="120" w:after="0"/>
      </w:pPr>
    </w:p>
    <w:p>
      <w:pPr>
        <w:pStyle w:val="Heading3"/>
        <w:spacing w:before="240" w:after="120"/>
      </w:pPr>
      <w:r>
        <w:rPr>
          <w:rFonts w:ascii="Calibri" w:cs="Calibri" w:eastAsia="Calibri" w:hAnsi="Calibri"/>
          <w:b/>
          <w:bCs/>
          <w:color w:val="3B82F6"/>
          <w:sz w:val="22"/>
          <w:szCs w:val="22"/>
        </w:rPr>
        <w:t xml:space="preserve">4.3.2 Long-Term Containment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Sustained containment while preparing for eradication: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Apply emergency patches to prevent re-exploitation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Rebuild compromised systems from clean images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Implement additional monitoring on affected segments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Rotate all potentially compromised credentials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Verify containment effectiveness through monitoring</w:t>
      </w:r>
    </w:p>
    <w:p>
      <w:r>
        <w:br w:type="page"/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4.4 Phase 4 — Eradication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Remove the root cause and all artifacts of the incident: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Identify and eliminate root cause (vulnerability, misconfiguration, etc.)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Remove all malware, backdoors, and unauthorized accounts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Apply all relevant security patches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Harden affected systems per baseline standards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Scan all systems for indicators of compromise (IOCs)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Verify eradication with independent assessment</w:t>
      </w:r>
    </w:p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4.5 Phase 5 — Recovery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Return affected systems to normal operations: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Restore systems from known-good backups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Validate system functionality and security controls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Implement enhanced monitoring on recovered systems (minimum 30 days)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Gradual return to production with approval from Incident Commander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Document all recovery actions with timestamps</w:t>
      </w:r>
    </w:p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4.6 Phase 6 — Post-Incident Activity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Lessons learned and process improvement:</w:t>
      </w:r>
    </w:p>
    <w:p>
      <w:pPr>
        <w:spacing w:before="120" w:after="0"/>
      </w:pPr>
    </w:p>
    <w:p>
      <w:pPr>
        <w:pStyle w:val="Heading3"/>
        <w:spacing w:before="240" w:after="120"/>
      </w:pPr>
      <w:r>
        <w:rPr>
          <w:rFonts w:ascii="Calibri" w:cs="Calibri" w:eastAsia="Calibri" w:hAnsi="Calibri"/>
          <w:b/>
          <w:bCs/>
          <w:color w:val="3B82F6"/>
          <w:sz w:val="22"/>
          <w:szCs w:val="22"/>
        </w:rPr>
        <w:t xml:space="preserve">4.6.1 Post-Incident Review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6"/>
              <w:bottom w:val="single" w:color="D97706" w:sz="1"/>
              <w:right w:val="single" w:color="D97706" w:sz="1"/>
            </w:tcBorders>
            <w:shd w:color="FFF3CD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8"/>
                <w:szCs w:val="18"/>
              </w:rPr>
              <w:t xml:space="preserve">📝 CONSULTANT INSTRUCTIONS (Delete this box before delivery)</w:t>
            </w:r>
          </w:p>
          <w:p>
            <w:r>
              <w:rPr>
                <w:rFonts w:ascii="Calibri" w:cs="Calibri" w:eastAsia="Calibri" w:hAnsi="Calibri"/>
                <w:i/>
                <w:iCs/>
                <w:color w:val="92400E"/>
                <w:sz w:val="18"/>
                <w:szCs w:val="18"/>
              </w:rPr>
              <w:t xml:space="preserve">Conduct within 2 weeks of incident closure. All IRT members and relevant stakeholders should participate. Document findings using the template below.</w:t>
            </w:r>
          </w:p>
        </w:tc>
      </w:tr>
    </w:tbl>
    <w:p>
      <w:pPr>
        <w:spacing w:before="120" w:after="0"/>
      </w:pP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Review Date: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[DATE]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Incident Number: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[INC-YYYY-MMDD-XXX]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Participants: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[LIST]</w:t>
      </w:r>
    </w:p>
    <w:p>
      <w:pPr>
        <w:spacing w:before="120" w:after="0"/>
      </w:pPr>
    </w:p>
    <w:p>
      <w:pPr>
        <w:spacing w:after="120" w:before="0" w:line="276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E293B"/>
          <w:sz w:val="22"/>
          <w:szCs w:val="22"/>
        </w:rPr>
        <w:t xml:space="preserve">Questions to address: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What happened and when?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How was the incident detected?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Were response procedures adequate?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What information was needed sooner?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Were any steps or actions that might have inhibited recovery?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What would the team do differently next time?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What corrective actions can prevent similar incidents?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What additional tools or resources are needed?</w:t>
      </w:r>
    </w:p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5. DFARS 252.204-7012 Reporting Procedures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12"/>
              <w:bottom w:val="single" w:color="D97706" w:sz="1"/>
              <w:right w:val="single" w:color="D97706" w:sz="1"/>
            </w:tcBorders>
            <w:shd w:color="FFFBEB" w:val="solid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22"/>
                <w:szCs w:val="22"/>
              </w:rPr>
              <w:t xml:space="preserve">⚠ 72-Hour Reporting Requirement</w:t>
            </w:r>
          </w:p>
          <w:p>
            <w:pPr>
              <w:spacing w:after="120" w:before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22"/>
                <w:szCs w:val="22"/>
              </w:rPr>
              <w:t xml:space="preserve">When a cyber incident affects CUI or the contractor's covered information system, reporting to DCISE is MANDATORY within 72 hours of discovery.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5.1 Reporting Steps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Step 1: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Determine if CUI was potentially compromised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Step 2: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Initiate 72-hour countdown from time of discovery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Step 3: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Collect required information for DCISE report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Step 4: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Submit report via DCISE portal (https://dcise.cyber.mil)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Step 5: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Submit malicious software to DC3 if applicable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Step 6: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Preserve images of affected systems for 90 days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Step 7: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Provide DoD with access to additional information as requested</w:t>
      </w:r>
    </w:p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5.2 DCISE Report Contents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The DCISE incident report must include: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Company name and point of contact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Date incident discovered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Location and type of compromised information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Affected contracts and contract numbers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Description of the incident methodology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CUI categories affected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Number of records potentially compromised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Remediation actions taken or planned</w:t>
      </w:r>
    </w:p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6. Communication Plan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1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Audience</w:t>
            </w:r>
          </w:p>
        </w:tc>
        <w:tc>
          <w:tcPr>
            <w:tcW w:type="pct" w:w="1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Message Owner</w:t>
            </w:r>
          </w:p>
        </w:tc>
        <w:tc>
          <w:tcPr>
            <w:tcW w:type="pct" w:w="1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Method</w:t>
            </w:r>
          </w:p>
        </w:tc>
        <w:tc>
          <w:tcPr>
            <w:tcW w:type="pct" w:w="1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Timing</w:t>
            </w:r>
          </w:p>
        </w:tc>
        <w:tc>
          <w:tcPr>
            <w:tcW w:type="pct" w:w="2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Approval Required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IRT</w:t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Incident Commander</w:t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OOB channel + email</w:t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Immediate</w:t>
            </w:r>
          </w:p>
        </w:tc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No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Executive Leadership</w:t>
            </w:r>
          </w:p>
        </w:tc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CISO</w:t>
            </w:r>
          </w:p>
        </w:tc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In-person/phone</w:t>
            </w:r>
          </w:p>
        </w:tc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Within 1 hour (P1)</w:t>
            </w:r>
          </w:p>
        </w:tc>
        <w:tc>
          <w:tcPr>
            <w:tcW w:type="pct" w:w="2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No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DCISE</w:t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ISSO</w:t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DCISE portal</w:t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Within 72 hours</w:t>
            </w:r>
          </w:p>
        </w:tc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Incident Commander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Legal</w:t>
            </w:r>
          </w:p>
        </w:tc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CISO</w:t>
            </w:r>
          </w:p>
        </w:tc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Phone</w:t>
            </w:r>
          </w:p>
        </w:tc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Within 4 hours (P1-P2)</w:t>
            </w:r>
          </w:p>
        </w:tc>
        <w:tc>
          <w:tcPr>
            <w:tcW w:type="pct" w:w="2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No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Affected Individuals</w:t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Legal</w:t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Written notice</w:t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Per state law</w:t>
            </w:r>
          </w:p>
        </w:tc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Legal + CEO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Prime Contractor</w:t>
            </w:r>
          </w:p>
        </w:tc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Contracts Mgr</w:t>
            </w:r>
          </w:p>
        </w:tc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Written notice</w:t>
            </w:r>
          </w:p>
        </w:tc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Per contract</w:t>
            </w:r>
          </w:p>
        </w:tc>
        <w:tc>
          <w:tcPr>
            <w:tcW w:type="pct" w:w="2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CISO + Legal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Media/Public</w:t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CEO</w:t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Prepared statement</w:t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Only if required</w:t>
            </w:r>
          </w:p>
        </w:tc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CEO + Legal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7. Testing and Training</w:t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7.1 Annual Testing Schedule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Participants</w:t>
            </w:r>
          </w:p>
        </w:tc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Last Completed</w:t>
            </w:r>
          </w:p>
        </w:tc>
        <w:tc>
          <w:tcPr>
            <w:tcW w:type="pct" w:w="2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Next Due</w:t>
            </w:r>
          </w:p>
        </w:tc>
      </w:tr>
      <w:tr>
        <w:trPr>
          <w:trHeight w:val="340" w:hRule="atLeast"/>
        </w:trPr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Tabletop Exercise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Annually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Full IRT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</w:tr>
      <w:tr>
        <w:trPr>
          <w:trHeight w:val="340" w:hRule="atLeast"/>
        </w:trPr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Technical Drill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Semi-annually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Technical IRT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</w:tr>
      <w:tr>
        <w:trPr>
          <w:trHeight w:val="340" w:hRule="atLeast"/>
        </w:trPr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Communication Test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Quarterly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All IRT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</w:tr>
      <w:tr>
        <w:trPr>
          <w:trHeight w:val="340" w:hRule="atLeast"/>
        </w:trPr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Backup Recovery Test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Quarterly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IT Operations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</w:tr>
      <w:tr>
        <w:trPr>
          <w:trHeight w:val="340" w:hRule="atLeast"/>
        </w:trPr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Security Awareness Training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Annually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All Personnel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7.2 Tabletop Exercise Scenarios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6"/>
              <w:bottom w:val="single" w:color="D97706" w:sz="1"/>
              <w:right w:val="single" w:color="D97706" w:sz="1"/>
            </w:tcBorders>
            <w:shd w:color="FFF3CD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8"/>
                <w:szCs w:val="18"/>
              </w:rPr>
              <w:t xml:space="preserve">📝 CONSULTANT INSTRUCTIONS (Delete this box before delivery)</w:t>
            </w:r>
          </w:p>
          <w:p>
            <w:r>
              <w:rPr>
                <w:rFonts w:ascii="Calibri" w:cs="Calibri" w:eastAsia="Calibri" w:hAnsi="Calibri"/>
                <w:i/>
                <w:iCs/>
                <w:color w:val="92400E"/>
                <w:sz w:val="18"/>
                <w:szCs w:val="18"/>
              </w:rPr>
              <w:t xml:space="preserve">Customize these scenarios to the client environment. Each exercise should simulate a realistic threat to CUI-processing systems.</w:t>
            </w:r>
          </w:p>
        </w:tc>
      </w:tr>
    </w:tbl>
    <w:p>
      <w:pPr>
        <w:spacing w:before="120" w:after="0"/>
      </w:pP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Scenario 1 — Ransomware: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Ransomware encrypts file server containing CUI. Attacker demands payment via cryptocurrency.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Scenario 2 — Insider Threat: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Employee downloads large volume of CUI files to personal USB drive before resignation.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Scenario 3 — Supply Chain: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Third-party vendor with VPN access has compromised credentials used to access CUI system.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Scenario 4 — Phishing: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CFO targeted with spear phishing campaign leading to credential compromise and email access.</w:t>
      </w:r>
    </w:p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8. Appendices</w:t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Appendix A — Incident Report Form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6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rPr>
          <w:trHeight w:val="340" w:hRule="atLeast"/>
        </w:trPr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Incident Number</w:t>
            </w:r>
          </w:p>
        </w:tc>
        <w:tc>
          <w:tcPr>
            <w:tcW w:type="pct" w:w="6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INC-____-______-___</w:t>
            </w:r>
          </w:p>
        </w:tc>
      </w:tr>
      <w:tr>
        <w:trPr>
          <w:trHeight w:val="340" w:hRule="atLeast"/>
        </w:trPr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Date/Time Discovered</w:t>
            </w:r>
          </w:p>
        </w:tc>
        <w:tc>
          <w:tcPr>
            <w:tcW w:type="pct" w:w="6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Date/Time Reported</w:t>
            </w:r>
          </w:p>
        </w:tc>
        <w:tc>
          <w:tcPr>
            <w:tcW w:type="pct" w:w="6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Reported By</w:t>
            </w:r>
          </w:p>
        </w:tc>
        <w:tc>
          <w:tcPr>
            <w:tcW w:type="pct" w:w="6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Severity (P1-P4)</w:t>
            </w:r>
          </w:p>
        </w:tc>
        <w:tc>
          <w:tcPr>
            <w:tcW w:type="pct" w:w="6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Incident Type</w:t>
            </w:r>
          </w:p>
        </w:tc>
        <w:tc>
          <w:tcPr>
            <w:tcW w:type="pct" w:w="6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Affected Systems</w:t>
            </w:r>
          </w:p>
        </w:tc>
        <w:tc>
          <w:tcPr>
            <w:tcW w:type="pct" w:w="6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CUI Involved (Y/N)</w:t>
            </w:r>
          </w:p>
        </w:tc>
        <w:tc>
          <w:tcPr>
            <w:tcW w:type="pct" w:w="6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DFARS Reporting Required (Y/N)</w:t>
            </w:r>
          </w:p>
        </w:tc>
        <w:tc>
          <w:tcPr>
            <w:tcW w:type="pct" w:w="6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6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Initial Actions Taken</w:t>
            </w:r>
          </w:p>
        </w:tc>
        <w:tc>
          <w:tcPr>
            <w:tcW w:type="pct" w:w="6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Current Status</w:t>
            </w:r>
          </w:p>
        </w:tc>
        <w:tc>
          <w:tcPr>
            <w:tcW w:type="pct" w:w="6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Assigned To</w:t>
            </w:r>
          </w:p>
        </w:tc>
        <w:tc>
          <w:tcPr>
            <w:tcW w:type="pct" w:w="6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Appendix B — Chain of Custody Form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6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rPr>
          <w:trHeight w:val="340" w:hRule="atLeast"/>
        </w:trPr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Evidence Item #</w:t>
            </w:r>
          </w:p>
        </w:tc>
        <w:tc>
          <w:tcPr>
            <w:tcW w:type="pct" w:w="6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6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Serial Number / Asset ID</w:t>
            </w:r>
          </w:p>
        </w:tc>
        <w:tc>
          <w:tcPr>
            <w:tcW w:type="pct" w:w="6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Date/Time Collected</w:t>
            </w:r>
          </w:p>
        </w:tc>
        <w:tc>
          <w:tcPr>
            <w:tcW w:type="pct" w:w="6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Collected By</w:t>
            </w:r>
          </w:p>
        </w:tc>
        <w:tc>
          <w:tcPr>
            <w:tcW w:type="pct" w:w="6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Location Found</w:t>
            </w:r>
          </w:p>
        </w:tc>
        <w:tc>
          <w:tcPr>
            <w:tcW w:type="pct" w:w="6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Hash (SHA-256)</w:t>
            </w:r>
          </w:p>
        </w:tc>
        <w:tc>
          <w:tcPr>
            <w:tcW w:type="pct" w:w="6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Storage Location</w:t>
            </w:r>
          </w:p>
        </w:tc>
        <w:tc>
          <w:tcPr>
            <w:tcW w:type="pct" w:w="6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</w:tbl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1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Date/Time</w:t>
            </w:r>
          </w:p>
        </w:tc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Released By</w:t>
            </w:r>
          </w:p>
        </w:tc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Received By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  <w:tc>
          <w:tcPr>
            <w:tcW w:type="pct" w:w="17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Signature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7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7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7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Approval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pct" w:w="3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Signature</w:t>
            </w:r>
          </w:p>
        </w:tc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CEO/President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[NAME]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CISO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[NAME]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ISSO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[NAME]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Legal Counsel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[NAME]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2"/>
      </w:pBdr>
      <w:jc w:val="center"/>
    </w:pPr>
    <w:r>
      <w:rPr>
        <w:rFonts w:ascii="Calibri" w:cs="Calibri" w:eastAsia="Calibri" w:hAnsi="Calibri"/>
        <w:color w:val="475569"/>
        <w:sz w:val="14"/>
        <w:szCs w:val="14"/>
      </w:rPr>
      <w:t xml:space="preserve">CUI // SP-IRP</w:t>
    </w:r>
    <w:r>
      <w:rPr>
        <w:rFonts w:ascii="Calibri" w:cs="Calibri" w:eastAsia="Calibri" w:hAnsi="Calibri"/>
        <w:color w:val="475569"/>
        <w:sz w:val="14"/>
        <w:szCs w:val="14"/>
      </w:rPr>
      <w:t xml:space="preserve">  |  Page </w:t>
    </w:r>
    <w:r>
      <w:rPr>
        <w:rFonts w:ascii="Calibri" w:cs="Calibri" w:eastAsia="Calibri" w:hAnsi="Calibri"/>
        <w:color w:val="475569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475569"/>
        <w:sz w:val="14"/>
        <w:szCs w:val="14"/>
      </w:rPr>
      <w:t xml:space="preserve"> of </w:t>
    </w:r>
    <w:r>
      <w:rPr>
        <w:rFonts w:ascii="Calibri" w:cs="Calibri" w:eastAsia="Calibri" w:hAnsi="Calibri"/>
        <w:color w:val="475569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2E8F0" w:sz="2"/>
      </w:pBdr>
      <w:jc w:val="right"/>
    </w:pPr>
    <w:r>
      <w:rPr>
        <w:rFonts w:ascii="Calibri" w:cs="Calibri" w:eastAsia="Calibri" w:hAnsi="Calibri"/>
        <w:color w:val="475569"/>
        <w:sz w:val="16"/>
        <w:szCs w:val="16"/>
      </w:rPr>
      <w:t xml:space="preserve">Incident Response Plan  |  </w:t>
    </w:r>
    <w:r>
      <w:rPr>
        <w:rFonts w:ascii="Calibri" w:cs="Calibri" w:eastAsia="Calibri" w:hAnsi="Calibri"/>
        <w:b/>
        <w:bCs/>
        <w:color w:val="3B82F6"/>
        <w:sz w:val="16"/>
        <w:szCs w:val="16"/>
      </w:rPr>
      <w:t xml:space="preserve">Dominus Gray, LLC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lowerLetter"/>
      <w:lvlText w:val="%2."/>
      <w:lvlJc w:val="start"/>
      <w:pPr>
        <w:ind w:left="14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293B"/>
        <w:sz w:val="22"/>
        <w:szCs w:val="22"/>
      </w:rPr>
    </w:rPrDefault>
    <w:pPrDefault>
      <w:pPr>
        <w:spacing w:after="12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240" w:after="120"/>
    </w:pPr>
    <w:rPr>
      <w:rFonts w:ascii="Calibri" w:cs="Calibri" w:eastAsia="Calibri" w:hAnsi="Calibri"/>
      <w:b/>
      <w:bCs/>
      <w:color w:val="0F172A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</w:pPr>
    <w:rPr>
      <w:rFonts w:ascii="Calibri" w:cs="Calibri" w:eastAsia="Calibri" w:hAnsi="Calibri"/>
      <w:b/>
      <w:bCs/>
      <w:color w:val="1E3A8A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</w:pPr>
    <w:rPr>
      <w:rFonts w:ascii="Calibri" w:cs="Calibri" w:eastAsia="Calibri" w:hAnsi="Calibri"/>
      <w:b/>
      <w:bCs/>
      <w:color w:val="3B82F6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Response Plan</dc:title>
  <dc:creator>Dominus Gray, LLC</dc:creator>
  <dc:description>Editable IRP template compliant with NIST SP 800-61 and DFARS 252.204-7012</dc:description>
  <cp:lastModifiedBy>Un-named</cp:lastModifiedBy>
  <cp:revision>1</cp:revision>
  <dcterms:created xsi:type="dcterms:W3CDTF">2026-02-10T03:59:17.541Z</dcterms:created>
  <dcterms:modified xsi:type="dcterms:W3CDTF">2026-02-10T03:59:17.541Z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