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Incident Response Retainer Playbook</w:t>
      </w:r>
    </w:p>
    <w:p>
      <w:pPr>
        <w:spacing w:after="200"/>
      </w:pPr>
      <w:r>
        <w:rPr>
          <w:rFonts w:ascii="Calibri" w:cs="Calibri" w:eastAsia="Calibri" w:hAnsi="Calibri"/>
          <w:i/>
          <w:iCs/>
          <w:color w:val="475569"/>
          <w:sz w:val="26"/>
          <w:szCs w:val="26"/>
        </w:rPr>
        <w:t xml:space="preserve">Standard Operating Procedure for IR Retainer Client Management &amp; Incident Activation</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February 2026</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INTERNAL USE ONLY</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Purpose &amp; Scope</w:t>
      </w:r>
    </w:p>
    <w:p>
      <w:pPr>
        <w:spacing w:after="120" w:before="0" w:line="276"/>
        <w:jc w:val="left"/>
      </w:pPr>
      <w:r>
        <w:rPr>
          <w:rFonts w:ascii="Calibri" w:cs="Calibri" w:eastAsia="Calibri" w:hAnsi="Calibri"/>
          <w:b w:val="false"/>
          <w:bCs w:val="false"/>
          <w:i w:val="false"/>
          <w:iCs w:val="false"/>
          <w:color w:val="1E293B"/>
          <w:sz w:val="22"/>
          <w:szCs w:val="22"/>
        </w:rPr>
        <w:t xml:space="preserve">This playbook governs how Dominus Gray manages incident response retainer clients from onboarding through activation and post-incident activities. It ensures rapid, coordinated response to security incidents affecting defense industrial base (DIB) clients handling CUI.</w:t>
      </w:r>
    </w:p>
    <w:p>
      <w:pPr>
        <w:spacing w:before="120" w:after="0"/>
      </w:pPr>
    </w:p>
    <w:p>
      <w:pPr>
        <w:pStyle w:val="Heading1"/>
        <w:spacing w:before="240" w:after="120"/>
      </w:pPr>
      <w:r>
        <w:rPr>
          <w:rFonts w:ascii="Calibri" w:cs="Calibri" w:eastAsia="Calibri" w:hAnsi="Calibri"/>
          <w:b/>
          <w:bCs/>
          <w:color w:val="0F172A"/>
          <w:sz w:val="32"/>
          <w:szCs w:val="32"/>
        </w:rPr>
        <w:t xml:space="preserve">IR Retainer Service Tiers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Tier</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Monthly Retainer</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Response SLA</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Included Hours</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Scope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Bronze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$2,500/mo</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8 business hours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8 hrs/quarter (advisory)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IR plan review, annual tabletop, phone support</w:t>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Silver</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$5,000/mo</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4 business hours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16 hrs/quarter (advisory)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Bronze + quarterly plan updates, threat briefings</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Gold</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$10,000/mo</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2 hours (24/7)</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40 hrs/quarter (advisory)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Silver + 24/7 on-call, active threat hunting, forensic readiness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Activation Billing</w:t>
            </w:r>
          </w:p>
          <w:p>
            <w:pPr>
              <w:spacing w:after="120" w:before="0" w:line="276"/>
              <w:jc w:val="left"/>
            </w:pPr>
            <w:r>
              <w:rPr>
                <w:rFonts w:ascii="Calibri" w:cs="Calibri" w:eastAsia="Calibri" w:hAnsi="Calibri"/>
                <w:b w:val="false"/>
                <w:bCs w:val="false"/>
                <w:i w:val="false"/>
                <w:iCs w:val="false"/>
                <w:color w:val="1E293B"/>
                <w:sz w:val="21"/>
                <w:szCs w:val="21"/>
              </w:rPr>
              <w:t xml:space="preserve">When an incident is activated, retainer hours are consumed first. Hours beyond the retainer allocation are billed at the contracted T&amp;M rate (typically $300–$450/hr for IR services). All hours must be documented with activity descriptions.</w:t>
            </w:r>
          </w:p>
        </w:tc>
      </w:tr>
    </w:tbl>
    <w:p>
      <w:r>
        <w:br w:type="page"/>
      </w:r>
    </w:p>
    <w:p>
      <w:pPr>
        <w:pStyle w:val="Heading1"/>
        <w:spacing w:before="240" w:after="120"/>
      </w:pPr>
      <w:r>
        <w:rPr>
          <w:rFonts w:ascii="Calibri" w:cs="Calibri" w:eastAsia="Calibri" w:hAnsi="Calibri"/>
          <w:b/>
          <w:bCs/>
          <w:color w:val="0F172A"/>
          <w:sz w:val="32"/>
          <w:szCs w:val="32"/>
        </w:rPr>
        <w:t xml:space="preserve">Client Onboarding</w:t>
      </w:r>
    </w:p>
    <w:p>
      <w:pPr>
        <w:pStyle w:val="Heading2"/>
        <w:spacing w:before="240" w:after="120"/>
      </w:pPr>
      <w:r>
        <w:rPr>
          <w:rFonts w:ascii="Calibri" w:cs="Calibri" w:eastAsia="Calibri" w:hAnsi="Calibri"/>
          <w:b/>
          <w:bCs/>
          <w:color w:val="1E3A8A"/>
          <w:sz w:val="26"/>
          <w:szCs w:val="26"/>
        </w:rPr>
        <w:t xml:space="preserve">Onboarding Checklist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Item</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IR retainer agreement executed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Includes SLA terms and activation procedures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Client contact roster collected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Technical, executive, legal, PR contacts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24/7 escalation phone tree documented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Primary + backup for each role</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Secure communication channel established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Signal group or encrypted email</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Network architecture diagram obtained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Current topology with CUI boundary</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Asset inventory received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Endpoints, servers, cloud services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Current security tool inventory</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EDR, SIEM, firewall, AV products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Remote access credentials/VPN provisioned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For emergency response access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Legal counsel contact identified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Client's outside counsel for cyber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Cyber insurance carrier/policy documented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Breach counsel and coverage limits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Existing IR plan reviewed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Use our template if they lack one</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Tabletop exercise scheduled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Within 60 days of onboarding</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DCISE reporting contact identified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For DFARS 252.204-7012 compliance</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Evidence preservation procedures documented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Forensic readiness assessment</w:t>
            </w:r>
          </w:p>
        </w:tc>
      </w:tr>
    </w:tbl>
    <w:p>
      <w:r>
        <w:br w:type="page"/>
      </w:r>
    </w:p>
    <w:p>
      <w:pPr>
        <w:pStyle w:val="Heading1"/>
        <w:spacing w:before="240" w:after="120"/>
      </w:pPr>
      <w:r>
        <w:rPr>
          <w:rFonts w:ascii="Calibri" w:cs="Calibri" w:eastAsia="Calibri" w:hAnsi="Calibri"/>
          <w:b/>
          <w:bCs/>
          <w:color w:val="0F172A"/>
          <w:sz w:val="32"/>
          <w:szCs w:val="32"/>
        </w:rPr>
        <w:t xml:space="preserve">Incident Activation Protocol</w:t>
      </w:r>
    </w:p>
    <w:p>
      <w:pPr>
        <w:pStyle w:val="Heading2"/>
        <w:spacing w:before="240" w:after="120"/>
      </w:pPr>
      <w:r>
        <w:rPr>
          <w:rFonts w:ascii="Calibri" w:cs="Calibri" w:eastAsia="Calibri" w:hAnsi="Calibri"/>
          <w:b/>
          <w:bCs/>
          <w:color w:val="1E3A8A"/>
          <w:sz w:val="26"/>
          <w:szCs w:val="26"/>
        </w:rPr>
        <w:t xml:space="preserve">Step 1: Initial Contact &amp; Triage (0–30 minutes)</w:t>
      </w:r>
    </w:p>
    <w:p>
      <w:pPr>
        <w:spacing w:after="120" w:before="0" w:line="276"/>
        <w:jc w:val="left"/>
      </w:pPr>
      <w:r>
        <w:rPr>
          <w:rFonts w:ascii="Calibri" w:cs="Calibri" w:eastAsia="Calibri" w:hAnsi="Calibri"/>
          <w:b w:val="false"/>
          <w:bCs w:val="false"/>
          <w:i w:val="false"/>
          <w:iCs w:val="false"/>
          <w:color w:val="1E293B"/>
          <w:sz w:val="22"/>
          <w:szCs w:val="22"/>
        </w:rPr>
        <w:t xml:space="preserve">When a client reports a potential incident:</w:t>
      </w:r>
    </w:p>
    <w:p>
      <w:pPr>
        <w:pStyle w:val="ListParagraph"/>
        <w:numPr>
          <w:ilvl w:val="0"/>
          <w:numId w:val="1"/>
        </w:numPr>
        <w:spacing w:after="60"/>
      </w:pPr>
      <w:r>
        <w:rPr>
          <w:rFonts w:ascii="Calibri" w:cs="Calibri" w:eastAsia="Calibri" w:hAnsi="Calibri"/>
          <w:color w:val="1E293B"/>
          <w:sz w:val="22"/>
          <w:szCs w:val="22"/>
        </w:rPr>
        <w:t xml:space="preserve">Acknowledge the report within the SLA response time</w:t>
      </w:r>
    </w:p>
    <w:p>
      <w:pPr>
        <w:pStyle w:val="ListParagraph"/>
        <w:numPr>
          <w:ilvl w:val="0"/>
          <w:numId w:val="1"/>
        </w:numPr>
        <w:spacing w:after="60"/>
      </w:pPr>
      <w:r>
        <w:rPr>
          <w:rFonts w:ascii="Calibri" w:cs="Calibri" w:eastAsia="Calibri" w:hAnsi="Calibri"/>
          <w:color w:val="1E293B"/>
          <w:sz w:val="22"/>
          <w:szCs w:val="22"/>
        </w:rPr>
        <w:t xml:space="preserve">Gather initial facts using the Incident Intake Form (below)</w:t>
      </w:r>
    </w:p>
    <w:p>
      <w:pPr>
        <w:pStyle w:val="ListParagraph"/>
        <w:numPr>
          <w:ilvl w:val="0"/>
          <w:numId w:val="1"/>
        </w:numPr>
        <w:spacing w:after="60"/>
      </w:pPr>
      <w:r>
        <w:rPr>
          <w:rFonts w:ascii="Calibri" w:cs="Calibri" w:eastAsia="Calibri" w:hAnsi="Calibri"/>
          <w:color w:val="1E293B"/>
          <w:sz w:val="22"/>
          <w:szCs w:val="22"/>
        </w:rPr>
        <w:t xml:space="preserve">Assign a severity level based on initial information</w:t>
      </w:r>
    </w:p>
    <w:p>
      <w:pPr>
        <w:pStyle w:val="ListParagraph"/>
        <w:numPr>
          <w:ilvl w:val="0"/>
          <w:numId w:val="1"/>
        </w:numPr>
        <w:spacing w:after="60"/>
      </w:pPr>
      <w:r>
        <w:rPr>
          <w:rFonts w:ascii="Calibri" w:cs="Calibri" w:eastAsia="Calibri" w:hAnsi="Calibri"/>
          <w:color w:val="1E293B"/>
          <w:sz w:val="22"/>
          <w:szCs w:val="22"/>
        </w:rPr>
        <w:t xml:space="preserve">Activate the Dominus Gray IR team based on severity</w:t>
      </w:r>
    </w:p>
    <w:p>
      <w:pPr>
        <w:pStyle w:val="ListParagraph"/>
        <w:numPr>
          <w:ilvl w:val="0"/>
          <w:numId w:val="1"/>
        </w:numPr>
        <w:spacing w:after="60"/>
      </w:pPr>
      <w:r>
        <w:rPr>
          <w:rFonts w:ascii="Calibri" w:cs="Calibri" w:eastAsia="Calibri" w:hAnsi="Calibri"/>
          <w:color w:val="1E293B"/>
          <w:sz w:val="22"/>
          <w:szCs w:val="22"/>
        </w:rPr>
        <w:t xml:space="preserve">Establish secure communication channel for the incident</w:t>
      </w:r>
    </w:p>
    <w:p>
      <w:pPr>
        <w:spacing w:before="120" w:after="0"/>
      </w:pPr>
    </w:p>
    <w:p>
      <w:pPr>
        <w:pStyle w:val="Heading3"/>
        <w:spacing w:before="240" w:after="120"/>
      </w:pPr>
      <w:r>
        <w:rPr>
          <w:rFonts w:ascii="Calibri" w:cs="Calibri" w:eastAsia="Calibri" w:hAnsi="Calibri"/>
          <w:b/>
          <w:bCs/>
          <w:color w:val="3B82F6"/>
          <w:sz w:val="22"/>
          <w:szCs w:val="22"/>
        </w:rPr>
        <w:t xml:space="preserve">Incident Intake Form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When was the incident discovered?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Who discovered it and how?</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What systems/data are affected?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Is the incident still active/ongoing?</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What actions have been taken so far?</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Is CUI potentially involved?</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Has law enforcement been notified?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Has legal counsel been engaged?</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Is there business impact (operational disruption)?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Are any third parties/customers affected?</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bl>
    <w:p>
      <w:pPr>
        <w:spacing w:before="120" w:after="0"/>
      </w:pPr>
    </w:p>
    <w:p>
      <w:pPr>
        <w:pStyle w:val="Heading2"/>
        <w:spacing w:before="240" w:after="120"/>
      </w:pPr>
      <w:r>
        <w:rPr>
          <w:rFonts w:ascii="Calibri" w:cs="Calibri" w:eastAsia="Calibri" w:hAnsi="Calibri"/>
          <w:b/>
          <w:bCs/>
          <w:color w:val="1E3A8A"/>
          <w:sz w:val="26"/>
          <w:szCs w:val="26"/>
        </w:rPr>
        <w:t xml:space="preserve">Step 2: Severity Classification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Severity</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Definition</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Examples</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Response Level</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SEV-1 Critical</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Active compromise with data exfiltration or operational disruption</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Ransomware encryption active, confirmed CUI exfiltration, APT presence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All hands, 24/7 response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SEV-2 High</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Confirmed compromise without active exfiltration or significant disruption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Malware detected on multiple endpoints, unauthorized access confirmed, BEC attack</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Dedicated IR team, business hours + extended</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SEV-3 Medium</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Suspicious activity requiring investigation, no confirmed compromise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Unusual network traffic, single endpoint compromise, phishing with credential harvest</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Lead analyst, business hours</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SEV-4 Low</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Minor security event, no evidence of compromise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Failed login attempts, policy violation, lost device (no CUI)</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Advisory support, next business day</w:t>
            </w:r>
          </w:p>
        </w:tc>
      </w:tr>
    </w:tbl>
    <w:p>
      <w:r>
        <w:br w:type="page"/>
      </w:r>
    </w:p>
    <w:p>
      <w:pPr>
        <w:pStyle w:val="Heading2"/>
        <w:spacing w:before="240" w:after="120"/>
      </w:pPr>
      <w:r>
        <w:rPr>
          <w:rFonts w:ascii="Calibri" w:cs="Calibri" w:eastAsia="Calibri" w:hAnsi="Calibri"/>
          <w:b/>
          <w:bCs/>
          <w:color w:val="1E3A8A"/>
          <w:sz w:val="26"/>
          <w:szCs w:val="26"/>
        </w:rPr>
        <w:t xml:space="preserve">Step 3: Containment (30 min – 4 hours)</w:t>
      </w:r>
    </w:p>
    <w:p>
      <w:pPr>
        <w:spacing w:after="120" w:before="0" w:line="276"/>
        <w:jc w:val="left"/>
      </w:pPr>
      <w:r>
        <w:rPr>
          <w:rFonts w:ascii="Calibri" w:cs="Calibri" w:eastAsia="Calibri" w:hAnsi="Calibri"/>
          <w:b w:val="false"/>
          <w:bCs w:val="false"/>
          <w:i w:val="false"/>
          <w:iCs w:val="false"/>
          <w:color w:val="1E293B"/>
          <w:sz w:val="22"/>
          <w:szCs w:val="22"/>
        </w:rPr>
        <w:t xml:space="preserve">Priority actions during containment:</w:t>
      </w:r>
    </w:p>
    <w:p>
      <w:pPr>
        <w:pStyle w:val="ListParagraph"/>
        <w:numPr>
          <w:ilvl w:val="0"/>
          <w:numId w:val="1"/>
        </w:numPr>
        <w:spacing w:after="60"/>
      </w:pPr>
      <w:r>
        <w:rPr>
          <w:rFonts w:ascii="Calibri" w:cs="Calibri" w:eastAsia="Calibri" w:hAnsi="Calibri"/>
          <w:b/>
          <w:bCs/>
          <w:color w:val="1E293B"/>
          <w:sz w:val="22"/>
          <w:szCs w:val="22"/>
        </w:rPr>
        <w:t xml:space="preserve">Preserve evidence first</w:t>
      </w:r>
      <w:r>
        <w:rPr>
          <w:rFonts w:ascii="Calibri" w:cs="Calibri" w:eastAsia="Calibri" w:hAnsi="Calibri"/>
          <w:color w:val="1E293B"/>
          <w:sz w:val="22"/>
          <w:szCs w:val="22"/>
        </w:rPr>
        <w:t xml:space="preserve"> — do not reboot or wipe affected systems until forensic images are captured or the decision to skip forensics is documented</w:t>
      </w:r>
    </w:p>
    <w:p>
      <w:pPr>
        <w:pStyle w:val="ListParagraph"/>
        <w:numPr>
          <w:ilvl w:val="0"/>
          <w:numId w:val="1"/>
        </w:numPr>
        <w:spacing w:after="60"/>
      </w:pPr>
      <w:r>
        <w:rPr>
          <w:rFonts w:ascii="Calibri" w:cs="Calibri" w:eastAsia="Calibri" w:hAnsi="Calibri"/>
          <w:b/>
          <w:bCs/>
          <w:color w:val="1E293B"/>
          <w:sz w:val="22"/>
          <w:szCs w:val="22"/>
        </w:rPr>
        <w:t xml:space="preserve">Isolate affected systems</w:t>
      </w:r>
      <w:r>
        <w:rPr>
          <w:rFonts w:ascii="Calibri" w:cs="Calibri" w:eastAsia="Calibri" w:hAnsi="Calibri"/>
          <w:color w:val="1E293B"/>
          <w:sz w:val="22"/>
          <w:szCs w:val="22"/>
        </w:rPr>
        <w:t xml:space="preserve"> — network segmentation, disable accounts, block malicious IPs</w:t>
      </w:r>
    </w:p>
    <w:p>
      <w:pPr>
        <w:pStyle w:val="ListParagraph"/>
        <w:numPr>
          <w:ilvl w:val="0"/>
          <w:numId w:val="1"/>
        </w:numPr>
        <w:spacing w:after="60"/>
      </w:pPr>
      <w:r>
        <w:rPr>
          <w:rFonts w:ascii="Calibri" w:cs="Calibri" w:eastAsia="Calibri" w:hAnsi="Calibri"/>
          <w:b/>
          <w:bCs/>
          <w:color w:val="1E293B"/>
          <w:sz w:val="22"/>
          <w:szCs w:val="22"/>
        </w:rPr>
        <w:t xml:space="preserve">Assess blast radius</w:t>
      </w:r>
      <w:r>
        <w:rPr>
          <w:rFonts w:ascii="Calibri" w:cs="Calibri" w:eastAsia="Calibri" w:hAnsi="Calibri"/>
          <w:color w:val="1E293B"/>
          <w:sz w:val="22"/>
          <w:szCs w:val="22"/>
        </w:rPr>
        <w:t xml:space="preserve"> — determine what other systems the attacker may have accessed</w:t>
      </w:r>
    </w:p>
    <w:p>
      <w:pPr>
        <w:pStyle w:val="ListParagraph"/>
        <w:numPr>
          <w:ilvl w:val="0"/>
          <w:numId w:val="1"/>
        </w:numPr>
        <w:spacing w:after="60"/>
      </w:pPr>
      <w:r>
        <w:rPr>
          <w:rFonts w:ascii="Calibri" w:cs="Calibri" w:eastAsia="Calibri" w:hAnsi="Calibri"/>
          <w:b/>
          <w:bCs/>
          <w:color w:val="1E293B"/>
          <w:sz w:val="22"/>
          <w:szCs w:val="22"/>
        </w:rPr>
        <w:t xml:space="preserve">Secure privileged accounts</w:t>
      </w:r>
      <w:r>
        <w:rPr>
          <w:rFonts w:ascii="Calibri" w:cs="Calibri" w:eastAsia="Calibri" w:hAnsi="Calibri"/>
          <w:color w:val="1E293B"/>
          <w:sz w:val="22"/>
          <w:szCs w:val="22"/>
        </w:rPr>
        <w:t xml:space="preserve"> — reset passwords for domain admin, service accounts, and any compromised credentials</w:t>
      </w:r>
    </w:p>
    <w:p>
      <w:pPr>
        <w:pStyle w:val="ListParagraph"/>
        <w:numPr>
          <w:ilvl w:val="0"/>
          <w:numId w:val="1"/>
        </w:numPr>
        <w:spacing w:after="60"/>
      </w:pPr>
      <w:r>
        <w:rPr>
          <w:rFonts w:ascii="Calibri" w:cs="Calibri" w:eastAsia="Calibri" w:hAnsi="Calibri"/>
          <w:b/>
          <w:bCs/>
          <w:color w:val="1E293B"/>
          <w:sz w:val="22"/>
          <w:szCs w:val="22"/>
        </w:rPr>
        <w:t xml:space="preserve">Enable enhanced logging</w:t>
      </w:r>
      <w:r>
        <w:rPr>
          <w:rFonts w:ascii="Calibri" w:cs="Calibri" w:eastAsia="Calibri" w:hAnsi="Calibri"/>
          <w:color w:val="1E293B"/>
          <w:sz w:val="22"/>
          <w:szCs w:val="22"/>
        </w:rPr>
        <w:t xml:space="preserve"> — increase log verbosity on key systems if not already maxed</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Evidence Preservation</w:t>
            </w:r>
          </w:p>
          <w:p>
            <w:pPr>
              <w:spacing w:after="120" w:before="0" w:line="276"/>
              <w:jc w:val="left"/>
            </w:pPr>
            <w:r>
              <w:rPr>
                <w:rFonts w:ascii="Calibri" w:cs="Calibri" w:eastAsia="Calibri" w:hAnsi="Calibri"/>
                <w:b w:val="false"/>
                <w:bCs w:val="false"/>
                <w:i w:val="false"/>
                <w:iCs w:val="false"/>
                <w:color w:val="1E293B"/>
                <w:sz w:val="21"/>
                <w:szCs w:val="21"/>
              </w:rPr>
              <w:t xml:space="preserve">For CUI incidents that may require DCISE reporting or litigation: capture forensic images before remediation. Use write-blockers for disk imaging. Preserve memory dumps from live systems. Document chain of custody for all evidence. If in doubt, preserve everything — you cannot un-destroy evidence.</w:t>
            </w:r>
          </w:p>
        </w:tc>
      </w:tr>
    </w:tbl>
    <w:p>
      <w:pPr>
        <w:spacing w:before="120" w:after="0"/>
      </w:pPr>
    </w:p>
    <w:p>
      <w:pPr>
        <w:pStyle w:val="Heading2"/>
        <w:spacing w:before="240" w:after="120"/>
      </w:pPr>
      <w:r>
        <w:rPr>
          <w:rFonts w:ascii="Calibri" w:cs="Calibri" w:eastAsia="Calibri" w:hAnsi="Calibri"/>
          <w:b/>
          <w:bCs/>
          <w:color w:val="1E3A8A"/>
          <w:sz w:val="26"/>
          <w:szCs w:val="26"/>
        </w:rPr>
        <w:t xml:space="preserve">Step 4: Eradication &amp; Recovery (4 hours – 72 hours)</w:t>
      </w:r>
    </w:p>
    <w:p>
      <w:pPr>
        <w:pStyle w:val="ListParagraph"/>
        <w:numPr>
          <w:ilvl w:val="0"/>
          <w:numId w:val="1"/>
        </w:numPr>
        <w:spacing w:after="60"/>
      </w:pPr>
      <w:r>
        <w:rPr>
          <w:rFonts w:ascii="Calibri" w:cs="Calibri" w:eastAsia="Calibri" w:hAnsi="Calibri"/>
          <w:color w:val="1E293B"/>
          <w:sz w:val="22"/>
          <w:szCs w:val="22"/>
        </w:rPr>
        <w:t xml:space="preserve">Remove malware and attacker tools from all affected systems</w:t>
      </w:r>
    </w:p>
    <w:p>
      <w:pPr>
        <w:pStyle w:val="ListParagraph"/>
        <w:numPr>
          <w:ilvl w:val="0"/>
          <w:numId w:val="1"/>
        </w:numPr>
        <w:spacing w:after="60"/>
      </w:pPr>
      <w:r>
        <w:rPr>
          <w:rFonts w:ascii="Calibri" w:cs="Calibri" w:eastAsia="Calibri" w:hAnsi="Calibri"/>
          <w:color w:val="1E293B"/>
          <w:sz w:val="22"/>
          <w:szCs w:val="22"/>
        </w:rPr>
        <w:t xml:space="preserve">Patch the vulnerability that enabled initial access</w:t>
      </w:r>
    </w:p>
    <w:p>
      <w:pPr>
        <w:pStyle w:val="ListParagraph"/>
        <w:numPr>
          <w:ilvl w:val="0"/>
          <w:numId w:val="1"/>
        </w:numPr>
        <w:spacing w:after="60"/>
      </w:pPr>
      <w:r>
        <w:rPr>
          <w:rFonts w:ascii="Calibri" w:cs="Calibri" w:eastAsia="Calibri" w:hAnsi="Calibri"/>
          <w:color w:val="1E293B"/>
          <w:sz w:val="22"/>
          <w:szCs w:val="22"/>
        </w:rPr>
        <w:t xml:space="preserve">Rebuild compromised systems from known-good images where possible</w:t>
      </w:r>
    </w:p>
    <w:p>
      <w:pPr>
        <w:pStyle w:val="ListParagraph"/>
        <w:numPr>
          <w:ilvl w:val="0"/>
          <w:numId w:val="1"/>
        </w:numPr>
        <w:spacing w:after="60"/>
      </w:pPr>
      <w:r>
        <w:rPr>
          <w:rFonts w:ascii="Calibri" w:cs="Calibri" w:eastAsia="Calibri" w:hAnsi="Calibri"/>
          <w:color w:val="1E293B"/>
          <w:sz w:val="22"/>
          <w:szCs w:val="22"/>
        </w:rPr>
        <w:t xml:space="preserve">Reset all potentially compromised credentials</w:t>
      </w:r>
    </w:p>
    <w:p>
      <w:pPr>
        <w:pStyle w:val="ListParagraph"/>
        <w:numPr>
          <w:ilvl w:val="0"/>
          <w:numId w:val="1"/>
        </w:numPr>
        <w:spacing w:after="60"/>
      </w:pPr>
      <w:r>
        <w:rPr>
          <w:rFonts w:ascii="Calibri" w:cs="Calibri" w:eastAsia="Calibri" w:hAnsi="Calibri"/>
          <w:color w:val="1E293B"/>
          <w:sz w:val="22"/>
          <w:szCs w:val="22"/>
        </w:rPr>
        <w:t xml:space="preserve">Validate security controls are functioning (EDR, firewall rules, MFA)</w:t>
      </w:r>
    </w:p>
    <w:p>
      <w:pPr>
        <w:pStyle w:val="ListParagraph"/>
        <w:numPr>
          <w:ilvl w:val="0"/>
          <w:numId w:val="1"/>
        </w:numPr>
        <w:spacing w:after="60"/>
      </w:pPr>
      <w:r>
        <w:rPr>
          <w:rFonts w:ascii="Calibri" w:cs="Calibri" w:eastAsia="Calibri" w:hAnsi="Calibri"/>
          <w:color w:val="1E293B"/>
          <w:sz w:val="22"/>
          <w:szCs w:val="22"/>
        </w:rPr>
        <w:t xml:space="preserve">Restore from clean backups if data was encrypted or destroyed</w:t>
      </w:r>
    </w:p>
    <w:p>
      <w:pPr>
        <w:pStyle w:val="ListParagraph"/>
        <w:numPr>
          <w:ilvl w:val="0"/>
          <w:numId w:val="1"/>
        </w:numPr>
        <w:spacing w:after="60"/>
      </w:pPr>
      <w:r>
        <w:rPr>
          <w:rFonts w:ascii="Calibri" w:cs="Calibri" w:eastAsia="Calibri" w:hAnsi="Calibri"/>
          <w:color w:val="1E293B"/>
          <w:sz w:val="22"/>
          <w:szCs w:val="22"/>
        </w:rPr>
        <w:t xml:space="preserve">Monitor closely for reentry attempts for 72+ hours post-eradication</w:t>
      </w:r>
    </w:p>
    <w:p>
      <w:pPr>
        <w:spacing w:before="120" w:after="0"/>
      </w:pPr>
    </w:p>
    <w:p>
      <w:pPr>
        <w:pStyle w:val="Heading2"/>
        <w:spacing w:before="240" w:after="120"/>
      </w:pPr>
      <w:r>
        <w:rPr>
          <w:rFonts w:ascii="Calibri" w:cs="Calibri" w:eastAsia="Calibri" w:hAnsi="Calibri"/>
          <w:b/>
          <w:bCs/>
          <w:color w:val="1E3A8A"/>
          <w:sz w:val="26"/>
          <w:szCs w:val="26"/>
        </w:rPr>
        <w:t xml:space="preserve">Step 5: DFARS/DCISE Reporting (within 72 hours)</w:t>
      </w:r>
    </w:p>
    <w:p>
      <w:pPr>
        <w:spacing w:after="120" w:before="0" w:line="276"/>
        <w:jc w:val="left"/>
      </w:pPr>
      <w:r>
        <w:rPr>
          <w:rFonts w:ascii="Calibri" w:cs="Calibri" w:eastAsia="Calibri" w:hAnsi="Calibri"/>
          <w:b w:val="false"/>
          <w:bCs w:val="false"/>
          <w:i w:val="false"/>
          <w:iCs w:val="false"/>
          <w:color w:val="1E293B"/>
          <w:sz w:val="22"/>
          <w:szCs w:val="22"/>
        </w:rPr>
        <w:t xml:space="preserve">If the incident involves CUI, the client is required to report to DCISE within 72 hours of discovery under DFARS 252.204-7012:</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Reporting Item</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Report to</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DCISE (Defense Counterintelligence and Security Enterprise)</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Deadline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72 hours from discovery of the incident</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Method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DCISE web portal (dcise.mil) or phone for urgent matters</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Who submits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The contractor (client) — DG assists but does not submit on their behalf</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Required information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Company info, incident details, affected systems, CUI involved, remediation steps</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Preservation requirement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Preserve images and forensic data for 90 days post-report</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59669" w:sz="1"/>
              <w:left w:val="single" w:color="059669" w:sz="12"/>
              <w:bottom w:val="single" w:color="059669" w:sz="1"/>
              <w:right w:val="single" w:color="059669" w:sz="1"/>
            </w:tcBorders>
            <w:shd w:color="ECFDF5" w:val="solid"/>
          </w:tcPr>
          <w:p>
            <w:pPr>
              <w:spacing w:after="60"/>
            </w:pPr>
            <w:r>
              <w:rPr>
                <w:rFonts w:ascii="Calibri" w:cs="Calibri" w:eastAsia="Calibri" w:hAnsi="Calibri"/>
                <w:b/>
                <w:bCs/>
                <w:color w:val="059669"/>
                <w:sz w:val="22"/>
                <w:szCs w:val="22"/>
              </w:rPr>
              <w:t xml:space="preserve">✓ DG Role in Reporting</w:t>
            </w:r>
          </w:p>
          <w:p>
            <w:pPr>
              <w:spacing w:after="120" w:before="0" w:line="276"/>
              <w:jc w:val="left"/>
            </w:pPr>
            <w:r>
              <w:rPr>
                <w:rFonts w:ascii="Calibri" w:cs="Calibri" w:eastAsia="Calibri" w:hAnsi="Calibri"/>
                <w:b w:val="false"/>
                <w:bCs w:val="false"/>
                <w:i w:val="false"/>
                <w:iCs w:val="false"/>
                <w:color w:val="1E293B"/>
                <w:sz w:val="21"/>
                <w:szCs w:val="21"/>
              </w:rPr>
              <w:t xml:space="preserve">Dominus Gray assists the client in preparing the DCISE report. We draft the incident details, help identify the scope of CUI exposure, and review the submission. The client's authorized representative must submit the report. Document our assistance and the submission timestamp.</w:t>
            </w:r>
          </w:p>
        </w:tc>
      </w:tr>
    </w:tbl>
    <w:p>
      <w:r>
        <w:br w:type="page"/>
      </w:r>
    </w:p>
    <w:p>
      <w:pPr>
        <w:pStyle w:val="Heading2"/>
        <w:spacing w:before="240" w:after="120"/>
      </w:pPr>
      <w:r>
        <w:rPr>
          <w:rFonts w:ascii="Calibri" w:cs="Calibri" w:eastAsia="Calibri" w:hAnsi="Calibri"/>
          <w:b/>
          <w:bCs/>
          <w:color w:val="1E3A8A"/>
          <w:sz w:val="26"/>
          <w:szCs w:val="26"/>
        </w:rPr>
        <w:t xml:space="preserve">Step 6: Post-Incident Activities</w:t>
      </w:r>
    </w:p>
    <w:p>
      <w:pPr>
        <w:pStyle w:val="Heading3"/>
        <w:spacing w:before="240" w:after="120"/>
      </w:pPr>
      <w:r>
        <w:rPr>
          <w:rFonts w:ascii="Calibri" w:cs="Calibri" w:eastAsia="Calibri" w:hAnsi="Calibri"/>
          <w:b/>
          <w:bCs/>
          <w:color w:val="3B82F6"/>
          <w:sz w:val="22"/>
          <w:szCs w:val="22"/>
        </w:rPr>
        <w:t xml:space="preserve">Lessons Learned Meeting (within 14 days)</w:t>
      </w:r>
    </w:p>
    <w:p>
      <w:pPr>
        <w:spacing w:after="120" w:before="0" w:line="276"/>
        <w:jc w:val="left"/>
      </w:pPr>
      <w:r>
        <w:rPr>
          <w:rFonts w:ascii="Calibri" w:cs="Calibri" w:eastAsia="Calibri" w:hAnsi="Calibri"/>
          <w:b w:val="false"/>
          <w:bCs w:val="false"/>
          <w:i w:val="false"/>
          <w:iCs w:val="false"/>
          <w:color w:val="1E293B"/>
          <w:sz w:val="22"/>
          <w:szCs w:val="22"/>
        </w:rPr>
        <w:t xml:space="preserve">Facilitate a blameless post-incident review:</w:t>
      </w:r>
    </w:p>
    <w:p>
      <w:pPr>
        <w:pStyle w:val="ListParagraph"/>
        <w:numPr>
          <w:ilvl w:val="0"/>
          <w:numId w:val="1"/>
        </w:numPr>
        <w:spacing w:after="60"/>
      </w:pPr>
      <w:r>
        <w:rPr>
          <w:rFonts w:ascii="Calibri" w:cs="Calibri" w:eastAsia="Calibri" w:hAnsi="Calibri"/>
          <w:color w:val="1E293B"/>
          <w:sz w:val="22"/>
          <w:szCs w:val="22"/>
        </w:rPr>
        <w:t xml:space="preserve">Timeline reconstruction — what happened, when, and how</w:t>
      </w:r>
    </w:p>
    <w:p>
      <w:pPr>
        <w:pStyle w:val="ListParagraph"/>
        <w:numPr>
          <w:ilvl w:val="0"/>
          <w:numId w:val="1"/>
        </w:numPr>
        <w:spacing w:after="60"/>
      </w:pPr>
      <w:r>
        <w:rPr>
          <w:rFonts w:ascii="Calibri" w:cs="Calibri" w:eastAsia="Calibri" w:hAnsi="Calibri"/>
          <w:color w:val="1E293B"/>
          <w:sz w:val="22"/>
          <w:szCs w:val="22"/>
        </w:rPr>
        <w:t xml:space="preserve">Root cause analysis — what allowed the incident to occur</w:t>
      </w:r>
    </w:p>
    <w:p>
      <w:pPr>
        <w:pStyle w:val="ListParagraph"/>
        <w:numPr>
          <w:ilvl w:val="0"/>
          <w:numId w:val="1"/>
        </w:numPr>
        <w:spacing w:after="60"/>
      </w:pPr>
      <w:r>
        <w:rPr>
          <w:rFonts w:ascii="Calibri" w:cs="Calibri" w:eastAsia="Calibri" w:hAnsi="Calibri"/>
          <w:color w:val="1E293B"/>
          <w:sz w:val="22"/>
          <w:szCs w:val="22"/>
        </w:rPr>
        <w:t xml:space="preserve">Response effectiveness — what worked well, what could improve</w:t>
      </w:r>
    </w:p>
    <w:p>
      <w:pPr>
        <w:pStyle w:val="ListParagraph"/>
        <w:numPr>
          <w:ilvl w:val="0"/>
          <w:numId w:val="1"/>
        </w:numPr>
        <w:spacing w:after="60"/>
      </w:pPr>
      <w:r>
        <w:rPr>
          <w:rFonts w:ascii="Calibri" w:cs="Calibri" w:eastAsia="Calibri" w:hAnsi="Calibri"/>
          <w:color w:val="1E293B"/>
          <w:sz w:val="22"/>
          <w:szCs w:val="22"/>
        </w:rPr>
        <w:t xml:space="preserve">Detection gap analysis — why wasn't this caught sooner?</w:t>
      </w:r>
    </w:p>
    <w:p>
      <w:pPr>
        <w:pStyle w:val="ListParagraph"/>
        <w:numPr>
          <w:ilvl w:val="0"/>
          <w:numId w:val="1"/>
        </w:numPr>
        <w:spacing w:after="60"/>
      </w:pPr>
      <w:r>
        <w:rPr>
          <w:rFonts w:ascii="Calibri" w:cs="Calibri" w:eastAsia="Calibri" w:hAnsi="Calibri"/>
          <w:color w:val="1E293B"/>
          <w:sz w:val="22"/>
          <w:szCs w:val="22"/>
        </w:rPr>
        <w:t xml:space="preserve">Remediation verification — are all fixes in place and validated?</w:t>
      </w:r>
    </w:p>
    <w:p>
      <w:pPr>
        <w:pStyle w:val="ListParagraph"/>
        <w:numPr>
          <w:ilvl w:val="0"/>
          <w:numId w:val="1"/>
        </w:numPr>
        <w:spacing w:after="60"/>
      </w:pPr>
      <w:r>
        <w:rPr>
          <w:rFonts w:ascii="Calibri" w:cs="Calibri" w:eastAsia="Calibri" w:hAnsi="Calibri"/>
          <w:color w:val="1E293B"/>
          <w:sz w:val="22"/>
          <w:szCs w:val="22"/>
        </w:rPr>
        <w:t xml:space="preserve">Recommendations — specific improvements to prevent recurrence</w:t>
      </w:r>
    </w:p>
    <w:p>
      <w:pPr>
        <w:spacing w:before="120" w:after="0"/>
      </w:pPr>
    </w:p>
    <w:p>
      <w:pPr>
        <w:pStyle w:val="Heading3"/>
        <w:spacing w:before="240" w:after="120"/>
      </w:pPr>
      <w:r>
        <w:rPr>
          <w:rFonts w:ascii="Calibri" w:cs="Calibri" w:eastAsia="Calibri" w:hAnsi="Calibri"/>
          <w:b/>
          <w:bCs/>
          <w:color w:val="3B82F6"/>
          <w:sz w:val="22"/>
          <w:szCs w:val="22"/>
        </w:rPr>
        <w:t xml:space="preserve">Post-Incident Report</w:t>
      </w:r>
    </w:p>
    <w:p>
      <w:pPr>
        <w:spacing w:after="120" w:before="0" w:line="276"/>
        <w:jc w:val="left"/>
      </w:pPr>
      <w:r>
        <w:rPr>
          <w:rFonts w:ascii="Calibri" w:cs="Calibri" w:eastAsia="Calibri" w:hAnsi="Calibri"/>
          <w:b w:val="false"/>
          <w:bCs w:val="false"/>
          <w:i w:val="false"/>
          <w:iCs w:val="false"/>
          <w:color w:val="1E293B"/>
          <w:sz w:val="22"/>
          <w:szCs w:val="22"/>
        </w:rPr>
        <w:t xml:space="preserve">Deliver a formal post-incident report within 30 days including:</w:t>
      </w:r>
    </w:p>
    <w:p>
      <w:pPr>
        <w:pStyle w:val="ListParagraph"/>
        <w:numPr>
          <w:ilvl w:val="0"/>
          <w:numId w:val="1"/>
        </w:numPr>
        <w:spacing w:after="60"/>
      </w:pPr>
      <w:r>
        <w:rPr>
          <w:rFonts w:ascii="Calibri" w:cs="Calibri" w:eastAsia="Calibri" w:hAnsi="Calibri"/>
          <w:color w:val="1E293B"/>
          <w:sz w:val="22"/>
          <w:szCs w:val="22"/>
        </w:rPr>
        <w:t xml:space="preserve">Executive summary (1 page for leadership)</w:t>
      </w:r>
    </w:p>
    <w:p>
      <w:pPr>
        <w:pStyle w:val="ListParagraph"/>
        <w:numPr>
          <w:ilvl w:val="0"/>
          <w:numId w:val="1"/>
        </w:numPr>
        <w:spacing w:after="60"/>
      </w:pPr>
      <w:r>
        <w:rPr>
          <w:rFonts w:ascii="Calibri" w:cs="Calibri" w:eastAsia="Calibri" w:hAnsi="Calibri"/>
          <w:color w:val="1E293B"/>
          <w:sz w:val="22"/>
          <w:szCs w:val="22"/>
        </w:rPr>
        <w:t xml:space="preserve">Detailed incident timeline</w:t>
      </w:r>
    </w:p>
    <w:p>
      <w:pPr>
        <w:pStyle w:val="ListParagraph"/>
        <w:numPr>
          <w:ilvl w:val="0"/>
          <w:numId w:val="1"/>
        </w:numPr>
        <w:spacing w:after="60"/>
      </w:pPr>
      <w:r>
        <w:rPr>
          <w:rFonts w:ascii="Calibri" w:cs="Calibri" w:eastAsia="Calibri" w:hAnsi="Calibri"/>
          <w:color w:val="1E293B"/>
          <w:sz w:val="22"/>
          <w:szCs w:val="22"/>
        </w:rPr>
        <w:t xml:space="preserve">Technical root cause analysis</w:t>
      </w:r>
    </w:p>
    <w:p>
      <w:pPr>
        <w:pStyle w:val="ListParagraph"/>
        <w:numPr>
          <w:ilvl w:val="0"/>
          <w:numId w:val="1"/>
        </w:numPr>
        <w:spacing w:after="60"/>
      </w:pPr>
      <w:r>
        <w:rPr>
          <w:rFonts w:ascii="Calibri" w:cs="Calibri" w:eastAsia="Calibri" w:hAnsi="Calibri"/>
          <w:color w:val="1E293B"/>
          <w:sz w:val="22"/>
          <w:szCs w:val="22"/>
        </w:rPr>
        <w:t xml:space="preserve">Scope of compromise and data exposure assessment</w:t>
      </w:r>
    </w:p>
    <w:p>
      <w:pPr>
        <w:pStyle w:val="ListParagraph"/>
        <w:numPr>
          <w:ilvl w:val="0"/>
          <w:numId w:val="1"/>
        </w:numPr>
        <w:spacing w:after="60"/>
      </w:pPr>
      <w:r>
        <w:rPr>
          <w:rFonts w:ascii="Calibri" w:cs="Calibri" w:eastAsia="Calibri" w:hAnsi="Calibri"/>
          <w:color w:val="1E293B"/>
          <w:sz w:val="22"/>
          <w:szCs w:val="22"/>
        </w:rPr>
        <w:t xml:space="preserve">Actions taken during response</w:t>
      </w:r>
    </w:p>
    <w:p>
      <w:pPr>
        <w:pStyle w:val="ListParagraph"/>
        <w:numPr>
          <w:ilvl w:val="0"/>
          <w:numId w:val="1"/>
        </w:numPr>
        <w:spacing w:after="60"/>
      </w:pPr>
      <w:r>
        <w:rPr>
          <w:rFonts w:ascii="Calibri" w:cs="Calibri" w:eastAsia="Calibri" w:hAnsi="Calibri"/>
          <w:color w:val="1E293B"/>
          <w:sz w:val="22"/>
          <w:szCs w:val="22"/>
        </w:rPr>
        <w:t xml:space="preserve">Recommendations with priority, effort, and cost estimates</w:t>
      </w:r>
    </w:p>
    <w:p>
      <w:pPr>
        <w:pStyle w:val="ListParagraph"/>
        <w:numPr>
          <w:ilvl w:val="0"/>
          <w:numId w:val="1"/>
        </w:numPr>
        <w:spacing w:after="60"/>
      </w:pPr>
      <w:r>
        <w:rPr>
          <w:rFonts w:ascii="Calibri" w:cs="Calibri" w:eastAsia="Calibri" w:hAnsi="Calibri"/>
          <w:color w:val="1E293B"/>
          <w:sz w:val="22"/>
          <w:szCs w:val="22"/>
        </w:rPr>
        <w:t xml:space="preserve">Updated risk register entries</w:t>
      </w:r>
    </w:p>
    <w:p>
      <w:pPr>
        <w:spacing w:before="120" w:after="0"/>
      </w:pPr>
    </w:p>
    <w:p>
      <w:pPr>
        <w:pStyle w:val="Heading3"/>
        <w:spacing w:before="240" w:after="120"/>
      </w:pPr>
      <w:r>
        <w:rPr>
          <w:rFonts w:ascii="Calibri" w:cs="Calibri" w:eastAsia="Calibri" w:hAnsi="Calibri"/>
          <w:b/>
          <w:bCs/>
          <w:color w:val="3B82F6"/>
          <w:sz w:val="22"/>
          <w:szCs w:val="22"/>
        </w:rPr>
        <w:t xml:space="preserve">IR Plan Updates</w:t>
      </w:r>
    </w:p>
    <w:p>
      <w:pPr>
        <w:spacing w:after="120" w:before="0" w:line="276"/>
        <w:jc w:val="left"/>
      </w:pPr>
      <w:r>
        <w:rPr>
          <w:rFonts w:ascii="Calibri" w:cs="Calibri" w:eastAsia="Calibri" w:hAnsi="Calibri"/>
          <w:b w:val="false"/>
          <w:bCs w:val="false"/>
          <w:i w:val="false"/>
          <w:iCs w:val="false"/>
          <w:color w:val="1E293B"/>
          <w:sz w:val="22"/>
          <w:szCs w:val="22"/>
        </w:rPr>
        <w:t xml:space="preserve">Update the client's incident response plan based on lessons learned:</w:t>
      </w:r>
    </w:p>
    <w:p>
      <w:pPr>
        <w:pStyle w:val="ListParagraph"/>
        <w:numPr>
          <w:ilvl w:val="0"/>
          <w:numId w:val="1"/>
        </w:numPr>
        <w:spacing w:after="60"/>
      </w:pPr>
      <w:r>
        <w:rPr>
          <w:rFonts w:ascii="Calibri" w:cs="Calibri" w:eastAsia="Calibri" w:hAnsi="Calibri"/>
          <w:color w:val="1E293B"/>
          <w:sz w:val="22"/>
          <w:szCs w:val="22"/>
        </w:rPr>
        <w:t xml:space="preserve">Add the incident type to the playbook if it wasn't already covered</w:t>
      </w:r>
    </w:p>
    <w:p>
      <w:pPr>
        <w:pStyle w:val="ListParagraph"/>
        <w:numPr>
          <w:ilvl w:val="0"/>
          <w:numId w:val="1"/>
        </w:numPr>
        <w:spacing w:after="60"/>
      </w:pPr>
      <w:r>
        <w:rPr>
          <w:rFonts w:ascii="Calibri" w:cs="Calibri" w:eastAsia="Calibri" w:hAnsi="Calibri"/>
          <w:color w:val="1E293B"/>
          <w:sz w:val="22"/>
          <w:szCs w:val="22"/>
        </w:rPr>
        <w:t xml:space="preserve">Update contact lists and escalation procedures</w:t>
      </w:r>
    </w:p>
    <w:p>
      <w:pPr>
        <w:pStyle w:val="ListParagraph"/>
        <w:numPr>
          <w:ilvl w:val="0"/>
          <w:numId w:val="1"/>
        </w:numPr>
        <w:spacing w:after="60"/>
      </w:pPr>
      <w:r>
        <w:rPr>
          <w:rFonts w:ascii="Calibri" w:cs="Calibri" w:eastAsia="Calibri" w:hAnsi="Calibri"/>
          <w:color w:val="1E293B"/>
          <w:sz w:val="22"/>
          <w:szCs w:val="22"/>
        </w:rPr>
        <w:t xml:space="preserve">Adjust detection rules and monitoring based on indicators observed</w:t>
      </w:r>
    </w:p>
    <w:p>
      <w:pPr>
        <w:pStyle w:val="ListParagraph"/>
        <w:numPr>
          <w:ilvl w:val="0"/>
          <w:numId w:val="1"/>
        </w:numPr>
        <w:spacing w:after="60"/>
      </w:pPr>
      <w:r>
        <w:rPr>
          <w:rFonts w:ascii="Calibri" w:cs="Calibri" w:eastAsia="Calibri" w:hAnsi="Calibri"/>
          <w:color w:val="1E293B"/>
          <w:sz w:val="22"/>
          <w:szCs w:val="22"/>
        </w:rPr>
        <w:t xml:space="preserve">Schedule a follow-up tabletop exercise within 90 days</w:t>
      </w:r>
    </w:p>
    <w:p>
      <w:r>
        <w:br w:type="page"/>
      </w:r>
    </w:p>
    <w:p>
      <w:pPr>
        <w:pStyle w:val="Heading1"/>
        <w:spacing w:before="240" w:after="120"/>
      </w:pPr>
      <w:r>
        <w:rPr>
          <w:rFonts w:ascii="Calibri" w:cs="Calibri" w:eastAsia="Calibri" w:hAnsi="Calibri"/>
          <w:b/>
          <w:bCs/>
          <w:color w:val="0F172A"/>
          <w:sz w:val="32"/>
          <w:szCs w:val="32"/>
        </w:rPr>
        <w:t xml:space="preserve">Tabletop Exercise Protocol</w:t>
      </w:r>
    </w:p>
    <w:p>
      <w:pPr>
        <w:spacing w:after="120" w:before="0" w:line="276"/>
        <w:jc w:val="left"/>
      </w:pPr>
      <w:r>
        <w:rPr>
          <w:rFonts w:ascii="Calibri" w:cs="Calibri" w:eastAsia="Calibri" w:hAnsi="Calibri"/>
          <w:b w:val="false"/>
          <w:bCs w:val="false"/>
          <w:i w:val="false"/>
          <w:iCs w:val="false"/>
          <w:color w:val="1E293B"/>
          <w:sz w:val="22"/>
          <w:szCs w:val="22"/>
        </w:rPr>
        <w:t xml:space="preserve">Conduct tabletop exercises at least annually (quarterly for Gold tier) to test the client's IR readiness:</w:t>
      </w:r>
    </w:p>
    <w:p>
      <w:pPr>
        <w:spacing w:before="120" w:after="0"/>
      </w:pPr>
    </w:p>
    <w:p>
      <w:pPr>
        <w:pStyle w:val="Heading2"/>
        <w:spacing w:before="240" w:after="120"/>
      </w:pPr>
      <w:r>
        <w:rPr>
          <w:rFonts w:ascii="Calibri" w:cs="Calibri" w:eastAsia="Calibri" w:hAnsi="Calibri"/>
          <w:b/>
          <w:bCs/>
          <w:color w:val="1E3A8A"/>
          <w:sz w:val="26"/>
          <w:szCs w:val="26"/>
        </w:rPr>
        <w:t xml:space="preserve">Exercise Structure (2 hours)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Phase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Duration</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Activity</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Introduction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10 min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Ground rules, roles, objectives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Scenario Inject #1</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25 min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Initial incident detection — who does what?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Scenario Inject #2</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25 min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Escalation — scope expands, CUI potentially involved</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Scenario Inject #3</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25 min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Crisis management — media inquiry, customer notification?</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Hot Wash</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20 min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Immediate observations and gaps identified</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Wrap-up</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15 min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Action items and next steps</w:t>
            </w:r>
          </w:p>
        </w:tc>
      </w:tr>
    </w:tbl>
    <w:p>
      <w:pPr>
        <w:spacing w:before="120" w:after="0"/>
      </w:pPr>
    </w:p>
    <w:p>
      <w:pPr>
        <w:pStyle w:val="Heading2"/>
        <w:spacing w:before="240" w:after="120"/>
      </w:pPr>
      <w:r>
        <w:rPr>
          <w:rFonts w:ascii="Calibri" w:cs="Calibri" w:eastAsia="Calibri" w:hAnsi="Calibri"/>
          <w:b/>
          <w:bCs/>
          <w:color w:val="1E3A8A"/>
          <w:sz w:val="26"/>
          <w:szCs w:val="26"/>
        </w:rPr>
        <w:t xml:space="preserve">Recommended Scenarios</w:t>
      </w:r>
    </w:p>
    <w:p>
      <w:pPr>
        <w:pStyle w:val="ListParagraph"/>
        <w:numPr>
          <w:ilvl w:val="0"/>
          <w:numId w:val="1"/>
        </w:numPr>
        <w:spacing w:after="60"/>
      </w:pPr>
      <w:r>
        <w:rPr>
          <w:rFonts w:ascii="Calibri" w:cs="Calibri" w:eastAsia="Calibri" w:hAnsi="Calibri"/>
          <w:b/>
          <w:bCs/>
          <w:color w:val="1E293B"/>
          <w:sz w:val="22"/>
          <w:szCs w:val="22"/>
        </w:rPr>
        <w:t xml:space="preserve">Ransomware attack</w:t>
      </w:r>
      <w:r>
        <w:rPr>
          <w:rFonts w:ascii="Calibri" w:cs="Calibri" w:eastAsia="Calibri" w:hAnsi="Calibri"/>
          <w:color w:val="1E293B"/>
          <w:sz w:val="22"/>
          <w:szCs w:val="22"/>
        </w:rPr>
        <w:t xml:space="preserve"> — File encryption detected on engineering file shares containing CUI</w:t>
      </w:r>
    </w:p>
    <w:p>
      <w:pPr>
        <w:pStyle w:val="ListParagraph"/>
        <w:numPr>
          <w:ilvl w:val="0"/>
          <w:numId w:val="1"/>
        </w:numPr>
        <w:spacing w:after="60"/>
      </w:pPr>
      <w:r>
        <w:rPr>
          <w:rFonts w:ascii="Calibri" w:cs="Calibri" w:eastAsia="Calibri" w:hAnsi="Calibri"/>
          <w:b/>
          <w:bCs/>
          <w:color w:val="1E293B"/>
          <w:sz w:val="22"/>
          <w:szCs w:val="22"/>
        </w:rPr>
        <w:t xml:space="preserve">Business email compromise</w:t>
      </w:r>
      <w:r>
        <w:rPr>
          <w:rFonts w:ascii="Calibri" w:cs="Calibri" w:eastAsia="Calibri" w:hAnsi="Calibri"/>
          <w:color w:val="1E293B"/>
          <w:sz w:val="22"/>
          <w:szCs w:val="22"/>
        </w:rPr>
        <w:t xml:space="preserve"> — CFO's email account compromised, fraudulent wire transfer attempted</w:t>
      </w:r>
    </w:p>
    <w:p>
      <w:pPr>
        <w:pStyle w:val="ListParagraph"/>
        <w:numPr>
          <w:ilvl w:val="0"/>
          <w:numId w:val="1"/>
        </w:numPr>
        <w:spacing w:after="60"/>
      </w:pPr>
      <w:r>
        <w:rPr>
          <w:rFonts w:ascii="Calibri" w:cs="Calibri" w:eastAsia="Calibri" w:hAnsi="Calibri"/>
          <w:b/>
          <w:bCs/>
          <w:color w:val="1E293B"/>
          <w:sz w:val="22"/>
          <w:szCs w:val="22"/>
        </w:rPr>
        <w:t xml:space="preserve">Insider threat</w:t>
      </w:r>
      <w:r>
        <w:rPr>
          <w:rFonts w:ascii="Calibri" w:cs="Calibri" w:eastAsia="Calibri" w:hAnsi="Calibri"/>
          <w:color w:val="1E293B"/>
          <w:sz w:val="22"/>
          <w:szCs w:val="22"/>
        </w:rPr>
        <w:t xml:space="preserve"> — Departing employee downloads large volume of CUI before last day</w:t>
      </w:r>
    </w:p>
    <w:p>
      <w:pPr>
        <w:pStyle w:val="ListParagraph"/>
        <w:numPr>
          <w:ilvl w:val="0"/>
          <w:numId w:val="1"/>
        </w:numPr>
        <w:spacing w:after="60"/>
      </w:pPr>
      <w:r>
        <w:rPr>
          <w:rFonts w:ascii="Calibri" w:cs="Calibri" w:eastAsia="Calibri" w:hAnsi="Calibri"/>
          <w:b/>
          <w:bCs/>
          <w:color w:val="1E293B"/>
          <w:sz w:val="22"/>
          <w:szCs w:val="22"/>
        </w:rPr>
        <w:t xml:space="preserve">Supply chain compromise</w:t>
      </w:r>
      <w:r>
        <w:rPr>
          <w:rFonts w:ascii="Calibri" w:cs="Calibri" w:eastAsia="Calibri" w:hAnsi="Calibri"/>
          <w:color w:val="1E293B"/>
          <w:sz w:val="22"/>
          <w:szCs w:val="22"/>
        </w:rPr>
        <w:t xml:space="preserve"> — Critical vendor notifies of breach affecting shared systems</w:t>
      </w:r>
    </w:p>
    <w:p>
      <w:pPr>
        <w:pStyle w:val="ListParagraph"/>
        <w:numPr>
          <w:ilvl w:val="0"/>
          <w:numId w:val="1"/>
        </w:numPr>
        <w:spacing w:after="60"/>
      </w:pPr>
      <w:r>
        <w:rPr>
          <w:rFonts w:ascii="Calibri" w:cs="Calibri" w:eastAsia="Calibri" w:hAnsi="Calibri"/>
          <w:b/>
          <w:bCs/>
          <w:color w:val="1E293B"/>
          <w:sz w:val="22"/>
          <w:szCs w:val="22"/>
        </w:rPr>
        <w:t xml:space="preserve">Phishing campaign</w:t>
      </w:r>
      <w:r>
        <w:rPr>
          <w:rFonts w:ascii="Calibri" w:cs="Calibri" w:eastAsia="Calibri" w:hAnsi="Calibri"/>
          <w:color w:val="1E293B"/>
          <w:sz w:val="22"/>
          <w:szCs w:val="22"/>
        </w:rPr>
        <w:t xml:space="preserve"> — Multiple employees report credential harvesting emails, some clicked</w:t>
      </w:r>
    </w:p>
    <w:p>
      <w:r>
        <w:br w:type="page"/>
      </w:r>
    </w:p>
    <w:p>
      <w:pPr>
        <w:pStyle w:val="Heading1"/>
        <w:spacing w:before="240" w:after="120"/>
      </w:pPr>
      <w:r>
        <w:rPr>
          <w:rFonts w:ascii="Calibri" w:cs="Calibri" w:eastAsia="Calibri" w:hAnsi="Calibri"/>
          <w:b/>
          <w:bCs/>
          <w:color w:val="0F172A"/>
          <w:sz w:val="32"/>
          <w:szCs w:val="32"/>
        </w:rPr>
        <w:t xml:space="preserve">Forensic Readiness Recommendations</w:t>
      </w:r>
    </w:p>
    <w:p>
      <w:pPr>
        <w:spacing w:after="120" w:before="0" w:line="276"/>
        <w:jc w:val="left"/>
      </w:pPr>
      <w:r>
        <w:rPr>
          <w:rFonts w:ascii="Calibri" w:cs="Calibri" w:eastAsia="Calibri" w:hAnsi="Calibri"/>
          <w:b w:val="false"/>
          <w:bCs w:val="false"/>
          <w:i w:val="false"/>
          <w:iCs w:val="false"/>
          <w:color w:val="1E293B"/>
          <w:sz w:val="22"/>
          <w:szCs w:val="22"/>
        </w:rPr>
        <w:t xml:space="preserve">Advise retainer clients to maintain forensic readiness: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Capability</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Recommendation</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Priority</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Centralized logging</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Aggregate logs from all CUI-boundary systems to SIEM with 90-day retention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Endpoint telemetry</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Deploy EDR on all endpoints with 30-day event retention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Network monitoring</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Full packet capture or NetFlow on CUI network segments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Forensic imaging capability</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Maintain forensic tools (FTK Imager, KAPE) and trained personnel</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Backup integrity</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Immutable backups with offline copies, tested quarterly</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Legal readiness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Breach counsel on retainer, cyber insurance current</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Communication plan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Pre-drafted notification templates for regulators, customers, employees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Medium</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INTERNAL USE ONLY</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Incident Response Retainer Playbook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Retainer Playbook</dc:title>
  <dc:creator>Dominus Gray, LLC</dc:creator>
  <cp:lastModifiedBy>Un-named</cp:lastModifiedBy>
  <cp:revision>1</cp:revision>
  <dcterms:created xsi:type="dcterms:W3CDTF">2026-02-12T05:43:16.637Z</dcterms:created>
  <dcterms:modified xsi:type="dcterms:W3CDTF">2026-02-12T05:43:16.637Z</dcterms:modified>
</cp:coreProperties>
</file>

<file path=docProps/custom.xml><?xml version="1.0" encoding="utf-8"?>
<Properties xmlns="http://schemas.openxmlformats.org/officeDocument/2006/custom-properties" xmlns:vt="http://schemas.openxmlformats.org/officeDocument/2006/docPropsVTypes"/>
</file>