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Quality Assurance Checklist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Pre-Delivery Document Review &amp; Engagement Quality Standards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February 2026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INTERNAL USE ONLY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Purpose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No deliverable leaves Dominus Gray without a quality review. This checklist ensures every document we deliver meets our professional standards, is accurate, consistent, and free of errors. It applies to all client-facing documents including assessment reports, security plans, legal agreements, and executive briefings.</w:t>
      </w:r>
    </w:p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Quality Review Workflow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Step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Responsible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Timeline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Author completes the deliverable and self-reviews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Before submitting for review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Peer reviewer conducts independent quality review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Peer Reviewer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Within 2 business days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Author addresses reviewer feedback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Within 1 business day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Lead approves for delivery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Lead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Same day as corrections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Deliverable transmitted to client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Lead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 engagement timeline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12"/>
              <w:bottom w:val="single" w:color="D97706" w:sz="1"/>
              <w:right w:val="single" w:color="D97706" w:sz="1"/>
            </w:tcBorders>
            <w:shd w:color="FFFBEB" w:val="solid"/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22"/>
                <w:szCs w:val="22"/>
              </w:rPr>
              <w:t xml:space="preserve">⚠ Non-Negotiable Rule</w:t>
            </w:r>
          </w:p>
          <w:p>
            <w:pPr>
              <w:spacing w:after="120" w:before="0" w:line="276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E293B"/>
                <w:sz w:val="21"/>
                <w:szCs w:val="21"/>
              </w:rPr>
              <w:t xml:space="preserve">The author of a document cannot be their own peer reviewer. A second set of eyes catches errors the author is blind to. This is a requirement, not a suggestion.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1: Document Completeness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Verify every required section is present and substantive: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Cover page has correct client name, date, and version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Table of contents is present and accurate (if &gt; 10 pages)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sections required by the template are included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sections contain only placeholder text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 control / revision history is completed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Distribution list is populated with correct names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appendices referenced in the body are included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Page count is reasonable for the document type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2: Placeholder &amp; Instruction Block Removal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Search for and resolve all placeholder text and consultant instructions: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Search for "[" — no bracketed placeholder text remains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Use Find &amp; Replace to search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Search for "PLACEHOLDER" — none found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Search for "INSERT" — no unresolved insert prompts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Search for "TODO" or "TBD" — none remain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yellow consultant instruction blocks deleted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Instruction blocks are for internal use only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red/yellow highlighted placeholder text visible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"Dominus Gray" references appropriate (not showing in client-owned docs)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sample/example data remains from templates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3: Accuracy &amp; Consistency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Verify factual accuracy and internal consistency: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Client name is spelled correctly and consistent throughout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name matches across all documents in the engagement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CAGE code and DUNS number are correct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Dates are accurate and internally consistent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Personnel names and titles are current and correct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score calculation is mathematically correct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For CMMC assessments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Control statuses match between SSP, POA&amp;M, and Gap Assessment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findings have corresponding recommendations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Risk ratings are consistent with the scoring methodology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Regulatory references are current (check NIST, DFARS versions)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Statistics and metrics are sourced and verifiable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4: Formatting &amp; Branding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Ensure professional appearance and brand consistency: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Dominus Gray branding is applied (if DG-branded deliverable)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Font is consistent throughout (Calibri preferred)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Heading hierarchy is logical (H1 &gt; H2 &gt; H3)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Tables have consistent formatting (headers, alignment, borders)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Page numbers are present and correct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Headers and footers are consistent across all pages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orphaned headings (heading at bottom of page, content on next)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Images and diagrams are clear, properly sized, and labeled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Color palette is consistent with brand standards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Classification marking matches the actual classification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tracked changes or comments visible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Accept All Changes before delivery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5: Writing Quality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Professional writing standards: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Spell check completed (no red squiggles)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Grammar check completed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Acronyms defined at first use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Consistent tense and voice throughout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overly casual language or jargon without definition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Sentences are clear and concise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Active voice preferred over passive where appropriate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copy-paste artifacts from other documents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Executive summary is actually a summary (not a repeat of the full report)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6: Technical Accuracy (Compliance Documents)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For compliance-specific deliverables, verify technical correctness: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NIST 800-171 control references use correct numbering (3.x.x)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All 14 control families addressed (SSP) or all applicable controls (Gap Assessment)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SPRS weights match DoD Assessment Methodology v1.2.1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CMMC level references align with 32 CFR Part 170 (Final Rule)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DFARS clause references are current and correctly cited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POA&amp;M items comply with CMMC conditional certification rules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System boundary description matches the network diagram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categories match the contract's CUI marking guide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DCISE reporting references (not DIBNet — decommissioned June 2025)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FedRAMP references are current with client's cloud provider status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Section 7: Security &amp; Handling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Before transmitting any deliverable: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 does not contain actual passwords, keys, or credentials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internal DG notes, pricing, or margin information included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Classification marking matches content sensitivity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Transmitted via secure channel (encrypted email, secure portal)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Recipient list is correct (no unauthorized recipients)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Document metadata cleaned (author, company, tracked changes)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File &gt; Info &gt; Check for Issues</w:t>
            </w:r>
          </w:p>
        </w:tc>
      </w:tr>
      <w:tr>
        <w:trPr>
          <w:trHeight w:val="340" w:hRule="atLeast"/>
        </w:trPr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File name follows naming convention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☐</w:t>
            </w:r>
          </w:p>
        </w:tc>
        <w:tc>
          <w:tcPr>
            <w:tcW w:type="pct" w:w="3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ClientName_DocumentType_Version_Date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Document Naming Convention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All client deliverables must follow this naming convention: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Format: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 [ClientShortName]_[DocumentType]_v[Version]_[YYYYMMDD]</w:t>
      </w:r>
    </w:p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293B"/>
          <w:sz w:val="22"/>
          <w:szCs w:val="22"/>
        </w:rPr>
        <w:t xml:space="preserve">Examples: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MeridianDefense_SSP_v1.0_20260215.docx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AcmeContractors_CMMC_GapAssessment_v2.1_20260301.pdf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NovaTech_IR_Plan_v1.0_20260115.docx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GlobalDefenseSystems_TPRM_VendorXYZ_v1.0_20260220.docx</w:t>
      </w:r>
    </w:p>
    <w:p>
      <w:pPr>
        <w:spacing w:before="120" w:after="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QA Sign-Off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Author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Peer Reviewer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Engagement Lead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0"/>
      </w:pP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By signing above, each party confirms they have reviewed this deliverable according to the Dominus Gray Quality Assurance standards and it is ready for client delivery.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INTERNAL USE ONLY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Quality Assurance Checklist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Checklist</dc:title>
  <dc:creator>Dominus Gray, LLC</dc:creator>
  <cp:lastModifiedBy>Un-named</cp:lastModifiedBy>
  <cp:revision>1</cp:revision>
  <dcterms:created xsi:type="dcterms:W3CDTF">2026-02-12T05:43:18.153Z</dcterms:created>
  <dcterms:modified xsi:type="dcterms:W3CDTF">2026-02-12T05:43:18.153Z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