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Staffing Operations Playbook</w:t>
      </w:r>
    </w:p>
    <w:p>
      <w:pPr>
        <w:spacing w:after="200"/>
      </w:pPr>
      <w:r>
        <w:rPr>
          <w:rFonts w:ascii="Calibri" w:cs="Calibri" w:eastAsia="Calibri" w:hAnsi="Calibri"/>
          <w:i/>
          <w:iCs/>
          <w:color w:val="475569"/>
          <w:sz w:val="26"/>
          <w:szCs w:val="26"/>
        </w:rPr>
        <w:t xml:space="preserve">Standard Operating Procedure for Cleared Cybersecurity Staffing Services</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February 2026</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INTERNAL USE ONLY</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Purpose &amp; Scope</w:t>
      </w:r>
    </w:p>
    <w:p>
      <w:pPr>
        <w:spacing w:after="120" w:before="0" w:line="276"/>
        <w:jc w:val="left"/>
      </w:pPr>
      <w:r>
        <w:rPr>
          <w:rFonts w:ascii="Calibri" w:cs="Calibri" w:eastAsia="Calibri" w:hAnsi="Calibri"/>
          <w:b w:val="false"/>
          <w:bCs w:val="false"/>
          <w:i w:val="false"/>
          <w:iCs w:val="false"/>
          <w:color w:val="1E293B"/>
          <w:sz w:val="22"/>
          <w:szCs w:val="22"/>
        </w:rPr>
        <w:t xml:space="preserve">This playbook governs Dominus Gray's cleared cybersecurity staffing operations — from client intake through placement, performance management, and billing. Our staffing practice focuses on placing cleared cybersecurity professionals with DoD contractors and government agencies, leveraging our SDVOSB status and deep understanding of the compliance landscape.</w:t>
      </w:r>
    </w:p>
    <w:p>
      <w:pPr>
        <w:spacing w:before="120" w:after="0"/>
      </w:pPr>
    </w:p>
    <w:p>
      <w:pPr>
        <w:pStyle w:val="Heading1"/>
        <w:spacing w:before="240" w:after="120"/>
      </w:pPr>
      <w:r>
        <w:rPr>
          <w:rFonts w:ascii="Calibri" w:cs="Calibri" w:eastAsia="Calibri" w:hAnsi="Calibri"/>
          <w:b/>
          <w:bCs/>
          <w:color w:val="0F172A"/>
          <w:sz w:val="32"/>
          <w:szCs w:val="32"/>
        </w:rPr>
        <w:t xml:space="preserve">Staffing Service Models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Model</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Description</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Fee Structure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Guarantee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Contract Staffing</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DG employs the candidate, bills client hourly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Hourly markup (typically 35–50%)</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30-day replacement guarantee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Contract-to-Hire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Contract period (typically 90 days) with conversion option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Hourly markup during contract, conversion fee at hire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90-day guarantee post-conversion</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Direct Placement</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Permanent hire, client employs from day one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20–25% of first-year salary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90-day replacement guarantee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Project-Based</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Team deployed for specific project/deliverable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Fixed-price or T&amp;M</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Deliverable-based</w:t>
            </w:r>
          </w:p>
        </w:tc>
      </w:tr>
    </w:tbl>
    <w:p>
      <w:r>
        <w:br w:type="page"/>
      </w:r>
    </w:p>
    <w:p>
      <w:pPr>
        <w:pStyle w:val="Heading1"/>
        <w:spacing w:before="240" w:after="120"/>
      </w:pPr>
      <w:r>
        <w:rPr>
          <w:rFonts w:ascii="Calibri" w:cs="Calibri" w:eastAsia="Calibri" w:hAnsi="Calibri"/>
          <w:b/>
          <w:bCs/>
          <w:color w:val="0F172A"/>
          <w:sz w:val="32"/>
          <w:szCs w:val="32"/>
        </w:rPr>
        <w:t xml:space="preserve">Phase 1: Client Intake &amp; Requirements</w:t>
      </w:r>
    </w:p>
    <w:p>
      <w:pPr>
        <w:pStyle w:val="Heading2"/>
        <w:spacing w:before="240" w:after="120"/>
      </w:pPr>
      <w:r>
        <w:rPr>
          <w:rFonts w:ascii="Calibri" w:cs="Calibri" w:eastAsia="Calibri" w:hAnsi="Calibri"/>
          <w:b/>
          <w:bCs/>
          <w:color w:val="1E3A8A"/>
          <w:sz w:val="26"/>
          <w:szCs w:val="26"/>
        </w:rPr>
        <w:t xml:space="preserve">1.1 Client Requirements Gathering</w:t>
      </w:r>
    </w:p>
    <w:p>
      <w:pPr>
        <w:spacing w:after="120" w:before="0" w:line="276"/>
        <w:jc w:val="left"/>
      </w:pPr>
      <w:r>
        <w:rPr>
          <w:rFonts w:ascii="Calibri" w:cs="Calibri" w:eastAsia="Calibri" w:hAnsi="Calibri"/>
          <w:b w:val="false"/>
          <w:bCs w:val="false"/>
          <w:i w:val="false"/>
          <w:iCs w:val="false"/>
          <w:color w:val="1E293B"/>
          <w:sz w:val="22"/>
          <w:szCs w:val="22"/>
        </w:rPr>
        <w:t xml:space="preserve">Complete the following intake for every staffing request:</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Category</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Information Required</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Position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Title, job description, required skills, nice-to-have skills</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Clearance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Level required (Secret, TS, TS/SCI, CI Poly), transferability</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Certifications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Required (CISSP, CEH, Security+, etc.) vs. preferred</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Experience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Years required, specific domain experience (CMMC, NIST, DoD)</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Location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On-site, hybrid, remote, specific facility requirements</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Timeline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Start date, urgency level, contract/project end date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Compensation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Budget range, bill rate ceiling, benefits expectations</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Contract Details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Prime/sub, contract vehicle, period of performance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Team &amp; Culture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Team size, reporting structure, work environment</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Compliance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ITAR restrictions, citizenship requirements, SDVOSB requirements</w:t>
            </w:r>
          </w:p>
        </w:tc>
      </w:tr>
    </w:tbl>
    <w:p>
      <w:pPr>
        <w:spacing w:before="120" w:after="0"/>
      </w:pPr>
    </w:p>
    <w:p>
      <w:pPr>
        <w:pStyle w:val="Heading2"/>
        <w:spacing w:before="240" w:after="120"/>
      </w:pPr>
      <w:r>
        <w:rPr>
          <w:rFonts w:ascii="Calibri" w:cs="Calibri" w:eastAsia="Calibri" w:hAnsi="Calibri"/>
          <w:b/>
          <w:bCs/>
          <w:color w:val="1E3A8A"/>
          <w:sz w:val="26"/>
          <w:szCs w:val="26"/>
        </w:rPr>
        <w:t xml:space="preserve">1.2 Feasibility Assessment</w:t>
      </w:r>
    </w:p>
    <w:p>
      <w:pPr>
        <w:spacing w:after="120" w:before="0" w:line="276"/>
        <w:jc w:val="left"/>
      </w:pPr>
      <w:r>
        <w:rPr>
          <w:rFonts w:ascii="Calibri" w:cs="Calibri" w:eastAsia="Calibri" w:hAnsi="Calibri"/>
          <w:b w:val="false"/>
          <w:bCs w:val="false"/>
          <w:i w:val="false"/>
          <w:iCs w:val="false"/>
          <w:color w:val="1E293B"/>
          <w:sz w:val="22"/>
          <w:szCs w:val="22"/>
        </w:rPr>
        <w:t xml:space="preserve">Before accepting a staffing request, assess feasibility:</w:t>
      </w:r>
    </w:p>
    <w:p>
      <w:pPr>
        <w:pStyle w:val="ListParagraph"/>
        <w:numPr>
          <w:ilvl w:val="0"/>
          <w:numId w:val="1"/>
        </w:numPr>
        <w:spacing w:after="60"/>
      </w:pPr>
      <w:r>
        <w:rPr>
          <w:rFonts w:ascii="Calibri" w:cs="Calibri" w:eastAsia="Calibri" w:hAnsi="Calibri"/>
          <w:b/>
          <w:bCs/>
          <w:color w:val="1E293B"/>
          <w:sz w:val="22"/>
          <w:szCs w:val="22"/>
        </w:rPr>
        <w:t xml:space="preserve">Market check:</w:t>
      </w:r>
      <w:r>
        <w:rPr>
          <w:rFonts w:ascii="Calibri" w:cs="Calibri" w:eastAsia="Calibri" w:hAnsi="Calibri"/>
          <w:color w:val="1E293B"/>
          <w:sz w:val="22"/>
          <w:szCs w:val="22"/>
        </w:rPr>
        <w:t xml:space="preserve"> Are candidates with this skillset + clearance available in the market?</w:t>
      </w:r>
    </w:p>
    <w:p>
      <w:pPr>
        <w:pStyle w:val="ListParagraph"/>
        <w:numPr>
          <w:ilvl w:val="0"/>
          <w:numId w:val="1"/>
        </w:numPr>
        <w:spacing w:after="60"/>
      </w:pPr>
      <w:r>
        <w:rPr>
          <w:rFonts w:ascii="Calibri" w:cs="Calibri" w:eastAsia="Calibri" w:hAnsi="Calibri"/>
          <w:b/>
          <w:bCs/>
          <w:color w:val="1E293B"/>
          <w:sz w:val="22"/>
          <w:szCs w:val="22"/>
        </w:rPr>
        <w:t xml:space="preserve">Rate check:</w:t>
      </w:r>
      <w:r>
        <w:rPr>
          <w:rFonts w:ascii="Calibri" w:cs="Calibri" w:eastAsia="Calibri" w:hAnsi="Calibri"/>
          <w:color w:val="1E293B"/>
          <w:sz w:val="22"/>
          <w:szCs w:val="22"/>
        </w:rPr>
        <w:t xml:space="preserve"> Is the client's budget competitive for the required profile?</w:t>
      </w:r>
    </w:p>
    <w:p>
      <w:pPr>
        <w:pStyle w:val="ListParagraph"/>
        <w:numPr>
          <w:ilvl w:val="0"/>
          <w:numId w:val="1"/>
        </w:numPr>
        <w:spacing w:after="60"/>
      </w:pPr>
      <w:r>
        <w:rPr>
          <w:rFonts w:ascii="Calibri" w:cs="Calibri" w:eastAsia="Calibri" w:hAnsi="Calibri"/>
          <w:b/>
          <w:bCs/>
          <w:color w:val="1E293B"/>
          <w:sz w:val="22"/>
          <w:szCs w:val="22"/>
        </w:rPr>
        <w:t xml:space="preserve">Timeline check:</w:t>
      </w:r>
      <w:r>
        <w:rPr>
          <w:rFonts w:ascii="Calibri" w:cs="Calibri" w:eastAsia="Calibri" w:hAnsi="Calibri"/>
          <w:color w:val="1E293B"/>
          <w:sz w:val="22"/>
          <w:szCs w:val="22"/>
        </w:rPr>
        <w:t xml:space="preserve"> Is the fill timeline realistic given the clearance and skill requirements?</w:t>
      </w:r>
    </w:p>
    <w:p>
      <w:pPr>
        <w:pStyle w:val="ListParagraph"/>
        <w:numPr>
          <w:ilvl w:val="0"/>
          <w:numId w:val="1"/>
        </w:numPr>
        <w:spacing w:after="60"/>
      </w:pPr>
      <w:r>
        <w:rPr>
          <w:rFonts w:ascii="Calibri" w:cs="Calibri" w:eastAsia="Calibri" w:hAnsi="Calibri"/>
          <w:b/>
          <w:bCs/>
          <w:color w:val="1E293B"/>
          <w:sz w:val="22"/>
          <w:szCs w:val="22"/>
        </w:rPr>
        <w:t xml:space="preserve">Margin check:</w:t>
      </w:r>
      <w:r>
        <w:rPr>
          <w:rFonts w:ascii="Calibri" w:cs="Calibri" w:eastAsia="Calibri" w:hAnsi="Calibri"/>
          <w:color w:val="1E293B"/>
          <w:sz w:val="22"/>
          <w:szCs w:val="22"/>
        </w:rPr>
        <w:t xml:space="preserve"> Does the bill rate support our minimum 30% gross margin?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Minimum Margin Policy</w:t>
            </w:r>
          </w:p>
          <w:p>
            <w:pPr>
              <w:spacing w:after="120" w:before="0" w:line="276"/>
              <w:jc w:val="left"/>
            </w:pPr>
            <w:r>
              <w:rPr>
                <w:rFonts w:ascii="Calibri" w:cs="Calibri" w:eastAsia="Calibri" w:hAnsi="Calibri"/>
                <w:b w:val="false"/>
                <w:bCs w:val="false"/>
                <w:i w:val="false"/>
                <w:iCs w:val="false"/>
                <w:color w:val="1E293B"/>
                <w:sz w:val="21"/>
                <w:szCs w:val="21"/>
              </w:rPr>
              <w:t xml:space="preserve">Do not accept staffing engagements below 30% gross margin. Exceptions require Managing Director approval and must be justified by strategic value (account growth, new contract vehicle access, SDVOSB teaming opportunity). Document all exceptions.</w:t>
            </w:r>
          </w:p>
        </w:tc>
      </w:tr>
    </w:tbl>
    <w:p>
      <w:r>
        <w:br w:type="page"/>
      </w:r>
    </w:p>
    <w:p>
      <w:pPr>
        <w:pStyle w:val="Heading1"/>
        <w:spacing w:before="240" w:after="120"/>
      </w:pPr>
      <w:r>
        <w:rPr>
          <w:rFonts w:ascii="Calibri" w:cs="Calibri" w:eastAsia="Calibri" w:hAnsi="Calibri"/>
          <w:b/>
          <w:bCs/>
          <w:color w:val="0F172A"/>
          <w:sz w:val="32"/>
          <w:szCs w:val="32"/>
        </w:rPr>
        <w:t xml:space="preserve">Phase 2: Sourcing &amp; Candidate Pipeline</w:t>
      </w:r>
    </w:p>
    <w:p>
      <w:pPr>
        <w:pStyle w:val="Heading2"/>
        <w:spacing w:before="240" w:after="120"/>
      </w:pPr>
      <w:r>
        <w:rPr>
          <w:rFonts w:ascii="Calibri" w:cs="Calibri" w:eastAsia="Calibri" w:hAnsi="Calibri"/>
          <w:b/>
          <w:bCs/>
          <w:color w:val="1E3A8A"/>
          <w:sz w:val="26"/>
          <w:szCs w:val="26"/>
        </w:rPr>
        <w:t xml:space="preserve">2.1 Sourcing Strategy</w:t>
      </w:r>
    </w:p>
    <w:p>
      <w:pPr>
        <w:spacing w:after="120" w:before="0" w:line="276"/>
        <w:jc w:val="left"/>
      </w:pPr>
      <w:r>
        <w:rPr>
          <w:rFonts w:ascii="Calibri" w:cs="Calibri" w:eastAsia="Calibri" w:hAnsi="Calibri"/>
          <w:b w:val="false"/>
          <w:bCs w:val="false"/>
          <w:i w:val="false"/>
          <w:iCs w:val="false"/>
          <w:color w:val="1E293B"/>
          <w:sz w:val="22"/>
          <w:szCs w:val="22"/>
        </w:rPr>
        <w:t xml:space="preserve">Use a multi-channel sourcing approach for each position: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Channel</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Best For</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Expected Response Rate</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ClearanceJobs.com</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Cleared professionals, all levels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8–12%</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LinkedIn Recruiter</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Passive candidates, networking</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5–8%</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Internal Database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Previously vetted candidates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15–25%</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Referral Network</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High-quality, pre-qualified candidates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20–30%</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Indeed / ZipRecruiter</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Volume sourcing, junior roles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3–5%</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Industry Events / Conferences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Relationship building, senior roles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Varies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Veteran Networks (IVMF, ACP)</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Transitioning military, cleared professionals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10–15%</w:t>
            </w:r>
          </w:p>
        </w:tc>
      </w:tr>
    </w:tbl>
    <w:p>
      <w:pPr>
        <w:spacing w:before="120" w:after="0"/>
      </w:pPr>
    </w:p>
    <w:p>
      <w:pPr>
        <w:pStyle w:val="Heading2"/>
        <w:spacing w:before="240" w:after="120"/>
      </w:pPr>
      <w:r>
        <w:rPr>
          <w:rFonts w:ascii="Calibri" w:cs="Calibri" w:eastAsia="Calibri" w:hAnsi="Calibri"/>
          <w:b/>
          <w:bCs/>
          <w:color w:val="1E3A8A"/>
          <w:sz w:val="26"/>
          <w:szCs w:val="26"/>
        </w:rPr>
        <w:t xml:space="preserve">2.2 Candidate Screening Process</w:t>
      </w:r>
    </w:p>
    <w:p>
      <w:pPr>
        <w:spacing w:after="120" w:before="0" w:line="276"/>
        <w:jc w:val="left"/>
      </w:pPr>
      <w:r>
        <w:rPr>
          <w:rFonts w:ascii="Calibri" w:cs="Calibri" w:eastAsia="Calibri" w:hAnsi="Calibri"/>
          <w:b w:val="false"/>
          <w:bCs w:val="false"/>
          <w:i w:val="false"/>
          <w:iCs w:val="false"/>
          <w:color w:val="1E293B"/>
          <w:sz w:val="22"/>
          <w:szCs w:val="22"/>
        </w:rPr>
        <w:t xml:space="preserve">Every candidate goes through a 6-stage vetting pipeline: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Stage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Activity</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Go/No-Go Criteria</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Owner</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1. Resume Screen</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Review resume against requirements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Meets minimum qualifications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Recruiter</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2. Phone Screen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20-min call: interest, availability, expectations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Interested, available, rate-aligned</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Recruiter</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3. Technical Screen</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45-min technical interview using role-specific questions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Demonstrates required technical competency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Technical Lead</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4. Clearance Verification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Verify clearance status via JPAS/DISS or self-attestation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Active clearance at required level</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Security Officer</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5. Reference Check</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Contact 2–3 professional references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Positive references, no red flags</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Recruiter</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6. Client Submission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Submit candidate profile with assessment notes</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Meets all requirements, approved for submission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Account Manager</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Candidate Submission Package</w:t>
            </w:r>
          </w:p>
          <w:p>
            <w:pPr>
              <w:spacing w:after="120" w:before="0" w:line="276"/>
              <w:jc w:val="left"/>
            </w:pPr>
            <w:r>
              <w:rPr>
                <w:rFonts w:ascii="Calibri" w:cs="Calibri" w:eastAsia="Calibri" w:hAnsi="Calibri"/>
                <w:b w:val="false"/>
                <w:bCs w:val="false"/>
                <w:i w:val="false"/>
                <w:iCs w:val="false"/>
                <w:color w:val="1E293B"/>
                <w:sz w:val="21"/>
                <w:szCs w:val="21"/>
              </w:rPr>
              <w:t xml:space="preserve">Every candidate submitted to a client must include: (1) Formatted resume (use DG template), (2) Recruiter assessment notes, (3) Technical screen scorecard, (4) Clearance status confirmation, (5) Availability and rate expectations, (6) Why this candidate is a strong fit (narrative).</w:t>
            </w:r>
          </w:p>
        </w:tc>
      </w:tr>
    </w:tbl>
    <w:p>
      <w:r>
        <w:br w:type="page"/>
      </w:r>
    </w:p>
    <w:p>
      <w:pPr>
        <w:pStyle w:val="Heading1"/>
        <w:spacing w:before="240" w:after="120"/>
      </w:pPr>
      <w:r>
        <w:rPr>
          <w:rFonts w:ascii="Calibri" w:cs="Calibri" w:eastAsia="Calibri" w:hAnsi="Calibri"/>
          <w:b/>
          <w:bCs/>
          <w:color w:val="0F172A"/>
          <w:sz w:val="32"/>
          <w:szCs w:val="32"/>
        </w:rPr>
        <w:t xml:space="preserve">Phase 3: Client Interview &amp; Selection</w:t>
      </w:r>
    </w:p>
    <w:p>
      <w:pPr>
        <w:pStyle w:val="Heading2"/>
        <w:spacing w:before="240" w:after="120"/>
      </w:pPr>
      <w:r>
        <w:rPr>
          <w:rFonts w:ascii="Calibri" w:cs="Calibri" w:eastAsia="Calibri" w:hAnsi="Calibri"/>
          <w:b/>
          <w:bCs/>
          <w:color w:val="1E3A8A"/>
          <w:sz w:val="26"/>
          <w:szCs w:val="26"/>
        </w:rPr>
        <w:t xml:space="preserve">3.1 Client Interview Coordination</w:t>
      </w:r>
    </w:p>
    <w:p>
      <w:pPr>
        <w:pStyle w:val="ListParagraph"/>
        <w:numPr>
          <w:ilvl w:val="0"/>
          <w:numId w:val="1"/>
        </w:numPr>
        <w:spacing w:after="60"/>
      </w:pPr>
      <w:r>
        <w:rPr>
          <w:rFonts w:ascii="Calibri" w:cs="Calibri" w:eastAsia="Calibri" w:hAnsi="Calibri"/>
          <w:color w:val="1E293B"/>
          <w:sz w:val="22"/>
          <w:szCs w:val="22"/>
        </w:rPr>
        <w:t xml:space="preserve">Schedule interviews within 3 business days of candidate submission</w:t>
      </w:r>
    </w:p>
    <w:p>
      <w:pPr>
        <w:pStyle w:val="ListParagraph"/>
        <w:numPr>
          <w:ilvl w:val="0"/>
          <w:numId w:val="1"/>
        </w:numPr>
        <w:spacing w:after="60"/>
      </w:pPr>
      <w:r>
        <w:rPr>
          <w:rFonts w:ascii="Calibri" w:cs="Calibri" w:eastAsia="Calibri" w:hAnsi="Calibri"/>
          <w:color w:val="1E293B"/>
          <w:sz w:val="22"/>
          <w:szCs w:val="22"/>
        </w:rPr>
        <w:t xml:space="preserve">Provide the client with the candidate package 24+ hours before the interview</w:t>
      </w:r>
    </w:p>
    <w:p>
      <w:pPr>
        <w:pStyle w:val="ListParagraph"/>
        <w:numPr>
          <w:ilvl w:val="0"/>
          <w:numId w:val="1"/>
        </w:numPr>
        <w:spacing w:after="60"/>
      </w:pPr>
      <w:r>
        <w:rPr>
          <w:rFonts w:ascii="Calibri" w:cs="Calibri" w:eastAsia="Calibri" w:hAnsi="Calibri"/>
          <w:color w:val="1E293B"/>
          <w:sz w:val="22"/>
          <w:szCs w:val="22"/>
        </w:rPr>
        <w:t xml:space="preserve">Brief the candidate on the client, role, and interview format</w:t>
      </w:r>
    </w:p>
    <w:p>
      <w:pPr>
        <w:pStyle w:val="ListParagraph"/>
        <w:numPr>
          <w:ilvl w:val="0"/>
          <w:numId w:val="1"/>
        </w:numPr>
        <w:spacing w:after="60"/>
      </w:pPr>
      <w:r>
        <w:rPr>
          <w:rFonts w:ascii="Calibri" w:cs="Calibri" w:eastAsia="Calibri" w:hAnsi="Calibri"/>
          <w:color w:val="1E293B"/>
          <w:sz w:val="22"/>
          <w:szCs w:val="22"/>
        </w:rPr>
        <w:t xml:space="preserve">Prep the candidate on anticipated technical questions</w:t>
      </w:r>
    </w:p>
    <w:p>
      <w:pPr>
        <w:pStyle w:val="ListParagraph"/>
        <w:numPr>
          <w:ilvl w:val="0"/>
          <w:numId w:val="1"/>
        </w:numPr>
        <w:spacing w:after="60"/>
      </w:pPr>
      <w:r>
        <w:rPr>
          <w:rFonts w:ascii="Calibri" w:cs="Calibri" w:eastAsia="Calibri" w:hAnsi="Calibri"/>
          <w:color w:val="1E293B"/>
          <w:sz w:val="22"/>
          <w:szCs w:val="22"/>
        </w:rPr>
        <w:t xml:space="preserve">Follow up with both parties within 4 hours of the interview</w:t>
      </w:r>
    </w:p>
    <w:p>
      <w:pPr>
        <w:spacing w:before="120" w:after="0"/>
      </w:pPr>
    </w:p>
    <w:p>
      <w:pPr>
        <w:pStyle w:val="Heading2"/>
        <w:spacing w:before="240" w:after="120"/>
      </w:pPr>
      <w:r>
        <w:rPr>
          <w:rFonts w:ascii="Calibri" w:cs="Calibri" w:eastAsia="Calibri" w:hAnsi="Calibri"/>
          <w:b/>
          <w:bCs/>
          <w:color w:val="1E3A8A"/>
          <w:sz w:val="26"/>
          <w:szCs w:val="26"/>
        </w:rPr>
        <w:t xml:space="preserve">3.2 Offer &amp; Negotiation</w:t>
      </w:r>
    </w:p>
    <w:p>
      <w:pPr>
        <w:pStyle w:val="ListParagraph"/>
        <w:numPr>
          <w:ilvl w:val="0"/>
          <w:numId w:val="1"/>
        </w:numPr>
        <w:spacing w:after="60"/>
      </w:pPr>
      <w:r>
        <w:rPr>
          <w:rFonts w:ascii="Calibri" w:cs="Calibri" w:eastAsia="Calibri" w:hAnsi="Calibri"/>
          <w:color w:val="1E293B"/>
          <w:sz w:val="22"/>
          <w:szCs w:val="22"/>
        </w:rPr>
        <w:t xml:space="preserve">Present offers to candidates within 24 hours of client decision</w:t>
      </w:r>
    </w:p>
    <w:p>
      <w:pPr>
        <w:pStyle w:val="ListParagraph"/>
        <w:numPr>
          <w:ilvl w:val="0"/>
          <w:numId w:val="1"/>
        </w:numPr>
        <w:spacing w:after="60"/>
      </w:pPr>
      <w:r>
        <w:rPr>
          <w:rFonts w:ascii="Calibri" w:cs="Calibri" w:eastAsia="Calibri" w:hAnsi="Calibri"/>
          <w:color w:val="1E293B"/>
          <w:sz w:val="22"/>
          <w:szCs w:val="22"/>
        </w:rPr>
        <w:t xml:space="preserve">Negotiate within pre-approved ranges — escalate to Account Manager for exceptions</w:t>
      </w:r>
    </w:p>
    <w:p>
      <w:pPr>
        <w:pStyle w:val="ListParagraph"/>
        <w:numPr>
          <w:ilvl w:val="0"/>
          <w:numId w:val="1"/>
        </w:numPr>
        <w:spacing w:after="60"/>
      </w:pPr>
      <w:r>
        <w:rPr>
          <w:rFonts w:ascii="Calibri" w:cs="Calibri" w:eastAsia="Calibri" w:hAnsi="Calibri"/>
          <w:color w:val="1E293B"/>
          <w:sz w:val="22"/>
          <w:szCs w:val="22"/>
        </w:rPr>
        <w:t xml:space="preserve">Provide written offer letter for contract positions or employment agreement for direct hires</w:t>
      </w:r>
    </w:p>
    <w:p>
      <w:pPr>
        <w:pStyle w:val="ListParagraph"/>
        <w:numPr>
          <w:ilvl w:val="0"/>
          <w:numId w:val="1"/>
        </w:numPr>
        <w:spacing w:after="60"/>
      </w:pPr>
      <w:r>
        <w:rPr>
          <w:rFonts w:ascii="Calibri" w:cs="Calibri" w:eastAsia="Calibri" w:hAnsi="Calibri"/>
          <w:color w:val="1E293B"/>
          <w:sz w:val="22"/>
          <w:szCs w:val="22"/>
        </w:rPr>
        <w:t xml:space="preserve">Obtain signed acceptance before confirming start date with the client</w:t>
      </w:r>
    </w:p>
    <w:p>
      <w:pPr>
        <w:pStyle w:val="ListParagraph"/>
        <w:numPr>
          <w:ilvl w:val="0"/>
          <w:numId w:val="1"/>
        </w:numPr>
        <w:spacing w:after="60"/>
      </w:pPr>
      <w:r>
        <w:rPr>
          <w:rFonts w:ascii="Calibri" w:cs="Calibri" w:eastAsia="Calibri" w:hAnsi="Calibri"/>
          <w:color w:val="1E293B"/>
          <w:sz w:val="22"/>
          <w:szCs w:val="22"/>
        </w:rPr>
        <w:t xml:space="preserve">Set 48-hour expiration on offers to maintain pipeline velocity</w:t>
      </w:r>
    </w:p>
    <w:p>
      <w:r>
        <w:br w:type="page"/>
      </w:r>
    </w:p>
    <w:p>
      <w:pPr>
        <w:pStyle w:val="Heading1"/>
        <w:spacing w:before="240" w:after="120"/>
      </w:pPr>
      <w:r>
        <w:rPr>
          <w:rFonts w:ascii="Calibri" w:cs="Calibri" w:eastAsia="Calibri" w:hAnsi="Calibri"/>
          <w:b/>
          <w:bCs/>
          <w:color w:val="0F172A"/>
          <w:sz w:val="32"/>
          <w:szCs w:val="32"/>
        </w:rPr>
        <w:t xml:space="preserve">Phase 4: Onboarding &amp; Placement</w:t>
      </w:r>
    </w:p>
    <w:p>
      <w:pPr>
        <w:pStyle w:val="Heading2"/>
        <w:spacing w:before="240" w:after="120"/>
      </w:pPr>
      <w:r>
        <w:rPr>
          <w:rFonts w:ascii="Calibri" w:cs="Calibri" w:eastAsia="Calibri" w:hAnsi="Calibri"/>
          <w:b/>
          <w:bCs/>
          <w:color w:val="1E3A8A"/>
          <w:sz w:val="26"/>
          <w:szCs w:val="26"/>
        </w:rPr>
        <w:t xml:space="preserve">4.1 Pre-Start Checklist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Item</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Responsible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Due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Offer letter / contract signed</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Recruiter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Before start</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Background check completed (if required beyond clearance)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HR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5 days before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Client facility access / badge request submitted</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Account Manager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10 days before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IT access / accounts provisioned by client</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Account Manager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3 days before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DG onboarding paperwork (W-4, I-9, benefits enrollment)</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HR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Day 1</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Timesheet process and submission schedule communicated</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Recruiter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Day 1</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First-day logistics shared (location, parking, dress code, POC)</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Recruiter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2 days before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30/60/90 day check-in schedule set</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Account Manager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Day 1</w:t>
            </w:r>
          </w:p>
        </w:tc>
      </w:tr>
    </w:tbl>
    <w:p>
      <w:pPr>
        <w:spacing w:before="120" w:after="0"/>
      </w:pPr>
    </w:p>
    <w:p>
      <w:pPr>
        <w:pStyle w:val="Heading2"/>
        <w:spacing w:before="240" w:after="120"/>
      </w:pPr>
      <w:r>
        <w:rPr>
          <w:rFonts w:ascii="Calibri" w:cs="Calibri" w:eastAsia="Calibri" w:hAnsi="Calibri"/>
          <w:b/>
          <w:bCs/>
          <w:color w:val="1E3A8A"/>
          <w:sz w:val="26"/>
          <w:szCs w:val="26"/>
        </w:rPr>
        <w:t xml:space="preserve">4.2 Milestone Check-Ins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Milestone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Focus Areas</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With Whom</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Day 1</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Smooth start, access working, introductions made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Candidate + Client POC</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Week 1</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Orientation complete, initial tasks assigned, no issues</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Candidate</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Day 30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Performance on track, cultural fit, any concerns from either side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Candidate + Client Manager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Day 60</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Productivity at expected level, relationship solid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Candidate + Client Manager</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Day 90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Full performance review, conversion discussion (if C2H)</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Candidate + Client Manager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Quarterly</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Ongoing engagement check, career development, retention</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Candidate</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59669" w:sz="1"/>
              <w:left w:val="single" w:color="059669" w:sz="12"/>
              <w:bottom w:val="single" w:color="059669" w:sz="1"/>
              <w:right w:val="single" w:color="059669" w:sz="1"/>
            </w:tcBorders>
            <w:shd w:color="ECFDF5" w:val="solid"/>
          </w:tcPr>
          <w:p>
            <w:pPr>
              <w:spacing w:after="60"/>
            </w:pPr>
            <w:r>
              <w:rPr>
                <w:rFonts w:ascii="Calibri" w:cs="Calibri" w:eastAsia="Calibri" w:hAnsi="Calibri"/>
                <w:b/>
                <w:bCs/>
                <w:color w:val="059669"/>
                <w:sz w:val="22"/>
                <w:szCs w:val="22"/>
              </w:rPr>
              <w:t xml:space="preserve">✓ Retention Strategy</w:t>
            </w:r>
          </w:p>
          <w:p>
            <w:pPr>
              <w:spacing w:after="120" w:before="0" w:line="276"/>
              <w:jc w:val="left"/>
            </w:pPr>
            <w:r>
              <w:rPr>
                <w:rFonts w:ascii="Calibri" w:cs="Calibri" w:eastAsia="Calibri" w:hAnsi="Calibri"/>
                <w:b w:val="false"/>
                <w:bCs w:val="false"/>
                <w:i w:val="false"/>
                <w:iCs w:val="false"/>
                <w:color w:val="1E293B"/>
                <w:sz w:val="21"/>
                <w:szCs w:val="21"/>
              </w:rPr>
              <w:t xml:space="preserve">Proactive check-ins are the primary retention tool. Most placements that fail do so because issues were not caught early. Document every check-in conversation and flag any concerns immediately to the Account Manager.</w:t>
            </w:r>
          </w:p>
        </w:tc>
      </w:tr>
    </w:tbl>
    <w:p>
      <w:r>
        <w:br w:type="page"/>
      </w:r>
    </w:p>
    <w:p>
      <w:pPr>
        <w:pStyle w:val="Heading1"/>
        <w:spacing w:before="240" w:after="120"/>
      </w:pPr>
      <w:r>
        <w:rPr>
          <w:rFonts w:ascii="Calibri" w:cs="Calibri" w:eastAsia="Calibri" w:hAnsi="Calibri"/>
          <w:b/>
          <w:bCs/>
          <w:color w:val="0F172A"/>
          <w:sz w:val="32"/>
          <w:szCs w:val="32"/>
        </w:rPr>
        <w:t xml:space="preserve">Phase 5: Billing &amp; Financial Management</w:t>
      </w:r>
    </w:p>
    <w:p>
      <w:pPr>
        <w:pStyle w:val="Heading2"/>
        <w:spacing w:before="240" w:after="120"/>
      </w:pPr>
      <w:r>
        <w:rPr>
          <w:rFonts w:ascii="Calibri" w:cs="Calibri" w:eastAsia="Calibri" w:hAnsi="Calibri"/>
          <w:b/>
          <w:bCs/>
          <w:color w:val="1E3A8A"/>
          <w:sz w:val="26"/>
          <w:szCs w:val="26"/>
        </w:rPr>
        <w:t xml:space="preserve">5.1 Invoicing Process</w:t>
      </w:r>
    </w:p>
    <w:p>
      <w:pPr>
        <w:pStyle w:val="ListParagraph"/>
        <w:numPr>
          <w:ilvl w:val="0"/>
          <w:numId w:val="1"/>
        </w:numPr>
        <w:spacing w:after="60"/>
      </w:pPr>
      <w:r>
        <w:rPr>
          <w:rFonts w:ascii="Calibri" w:cs="Calibri" w:eastAsia="Calibri" w:hAnsi="Calibri"/>
          <w:b/>
          <w:bCs/>
          <w:color w:val="1E293B"/>
          <w:sz w:val="22"/>
          <w:szCs w:val="22"/>
        </w:rPr>
        <w:t xml:space="preserve">Contract staffing:</w:t>
      </w:r>
      <w:r>
        <w:rPr>
          <w:rFonts w:ascii="Calibri" w:cs="Calibri" w:eastAsia="Calibri" w:hAnsi="Calibri"/>
          <w:color w:val="1E293B"/>
          <w:sz w:val="22"/>
          <w:szCs w:val="22"/>
        </w:rPr>
        <w:t xml:space="preserve"> Invoice bi-weekly or monthly based on approved timesheets</w:t>
      </w:r>
    </w:p>
    <w:p>
      <w:pPr>
        <w:pStyle w:val="ListParagraph"/>
        <w:numPr>
          <w:ilvl w:val="0"/>
          <w:numId w:val="1"/>
        </w:numPr>
        <w:spacing w:after="60"/>
      </w:pPr>
      <w:r>
        <w:rPr>
          <w:rFonts w:ascii="Calibri" w:cs="Calibri" w:eastAsia="Calibri" w:hAnsi="Calibri"/>
          <w:b/>
          <w:bCs/>
          <w:color w:val="1E293B"/>
          <w:sz w:val="22"/>
          <w:szCs w:val="22"/>
        </w:rPr>
        <w:t xml:space="preserve">Direct placement:</w:t>
      </w:r>
      <w:r>
        <w:rPr>
          <w:rFonts w:ascii="Calibri" w:cs="Calibri" w:eastAsia="Calibri" w:hAnsi="Calibri"/>
          <w:color w:val="1E293B"/>
          <w:sz w:val="22"/>
          <w:szCs w:val="22"/>
        </w:rPr>
        <w:t xml:space="preserve"> Invoice upon candidate start date (50%) and end of guarantee period (50%)</w:t>
      </w:r>
    </w:p>
    <w:p>
      <w:pPr>
        <w:pStyle w:val="ListParagraph"/>
        <w:numPr>
          <w:ilvl w:val="0"/>
          <w:numId w:val="1"/>
        </w:numPr>
        <w:spacing w:after="60"/>
      </w:pPr>
      <w:r>
        <w:rPr>
          <w:rFonts w:ascii="Calibri" w:cs="Calibri" w:eastAsia="Calibri" w:hAnsi="Calibri"/>
          <w:b/>
          <w:bCs/>
          <w:color w:val="1E293B"/>
          <w:sz w:val="22"/>
          <w:szCs w:val="22"/>
        </w:rPr>
        <w:t xml:space="preserve">Conversion fees:</w:t>
      </w:r>
      <w:r>
        <w:rPr>
          <w:rFonts w:ascii="Calibri" w:cs="Calibri" w:eastAsia="Calibri" w:hAnsi="Calibri"/>
          <w:color w:val="1E293B"/>
          <w:sz w:val="22"/>
          <w:szCs w:val="22"/>
        </w:rPr>
        <w:t xml:space="preserve"> Invoice upon conversion, calculated per contract terms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Fee Type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Calculation</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Standard Terms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Contract hourly markup</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35–50% over candidate pay rate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Net 30</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Direct placement fee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20–25% of first-year base salary</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50% at start, 50% at 90 days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Contract-to-hire conversion</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Prorated fee based on hours worked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Net 30 from conversion date</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Overtime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Bill rate × 1.5 for hours over 40/week</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Per contract terms</w:t>
            </w:r>
          </w:p>
        </w:tc>
      </w:tr>
    </w:tbl>
    <w:p>
      <w:pPr>
        <w:spacing w:before="120" w:after="0"/>
      </w:pPr>
    </w:p>
    <w:p>
      <w:pPr>
        <w:pStyle w:val="Heading2"/>
        <w:spacing w:before="240" w:after="120"/>
      </w:pPr>
      <w:r>
        <w:rPr>
          <w:rFonts w:ascii="Calibri" w:cs="Calibri" w:eastAsia="Calibri" w:hAnsi="Calibri"/>
          <w:b/>
          <w:bCs/>
          <w:color w:val="1E3A8A"/>
          <w:sz w:val="26"/>
          <w:szCs w:val="26"/>
        </w:rPr>
        <w:t xml:space="preserve">5.2 Guarantee &amp; Replacement Policy</w:t>
      </w:r>
    </w:p>
    <w:p>
      <w:pPr>
        <w:spacing w:after="120" w:before="0" w:line="276"/>
        <w:jc w:val="left"/>
      </w:pPr>
      <w:r>
        <w:rPr>
          <w:rFonts w:ascii="Calibri" w:cs="Calibri" w:eastAsia="Calibri" w:hAnsi="Calibri"/>
          <w:b w:val="false"/>
          <w:bCs w:val="false"/>
          <w:i w:val="false"/>
          <w:iCs w:val="false"/>
          <w:color w:val="1E293B"/>
          <w:sz w:val="22"/>
          <w:szCs w:val="22"/>
        </w:rPr>
        <w:t xml:space="preserve">Standard guarantee terms:</w:t>
      </w:r>
    </w:p>
    <w:p>
      <w:pPr>
        <w:pStyle w:val="ListParagraph"/>
        <w:numPr>
          <w:ilvl w:val="0"/>
          <w:numId w:val="1"/>
        </w:numPr>
        <w:spacing w:after="60"/>
      </w:pPr>
      <w:r>
        <w:rPr>
          <w:rFonts w:ascii="Calibri" w:cs="Calibri" w:eastAsia="Calibri" w:hAnsi="Calibri"/>
          <w:b/>
          <w:bCs/>
          <w:color w:val="1E293B"/>
          <w:sz w:val="22"/>
          <w:szCs w:val="22"/>
        </w:rPr>
        <w:t xml:space="preserve">Contract staffing:</w:t>
      </w:r>
      <w:r>
        <w:rPr>
          <w:rFonts w:ascii="Calibri" w:cs="Calibri" w:eastAsia="Calibri" w:hAnsi="Calibri"/>
          <w:color w:val="1E293B"/>
          <w:sz w:val="22"/>
          <w:szCs w:val="22"/>
        </w:rPr>
        <w:t xml:space="preserve"> 30-day replacement guarantee. If the candidate is terminated for performance within 30 days, DG provides a replacement at no additional cost.</w:t>
      </w:r>
    </w:p>
    <w:p>
      <w:pPr>
        <w:pStyle w:val="ListParagraph"/>
        <w:numPr>
          <w:ilvl w:val="0"/>
          <w:numId w:val="1"/>
        </w:numPr>
        <w:spacing w:after="60"/>
      </w:pPr>
      <w:r>
        <w:rPr>
          <w:rFonts w:ascii="Calibri" w:cs="Calibri" w:eastAsia="Calibri" w:hAnsi="Calibri"/>
          <w:b/>
          <w:bCs/>
          <w:color w:val="1E293B"/>
          <w:sz w:val="22"/>
          <w:szCs w:val="22"/>
        </w:rPr>
        <w:t xml:space="preserve">Direct placement:</w:t>
      </w:r>
      <w:r>
        <w:rPr>
          <w:rFonts w:ascii="Calibri" w:cs="Calibri" w:eastAsia="Calibri" w:hAnsi="Calibri"/>
          <w:color w:val="1E293B"/>
          <w:sz w:val="22"/>
          <w:szCs w:val="22"/>
        </w:rPr>
        <w:t xml:space="preserve"> 90-day replacement guarantee. If the hire separates for any reason other than RIF/layoff within 90 days, DG provides a replacement or refunds the fee on a prorated basis.</w:t>
      </w:r>
    </w:p>
    <w:p>
      <w:pPr>
        <w:pStyle w:val="ListParagraph"/>
        <w:numPr>
          <w:ilvl w:val="0"/>
          <w:numId w:val="1"/>
        </w:numPr>
        <w:spacing w:after="60"/>
      </w:pPr>
      <w:r>
        <w:rPr>
          <w:rFonts w:ascii="Calibri" w:cs="Calibri" w:eastAsia="Calibri" w:hAnsi="Calibri"/>
          <w:b/>
          <w:bCs/>
          <w:color w:val="1E293B"/>
          <w:sz w:val="22"/>
          <w:szCs w:val="22"/>
        </w:rPr>
        <w:t xml:space="preserve">Contract-to-hire:</w:t>
      </w:r>
      <w:r>
        <w:rPr>
          <w:rFonts w:ascii="Calibri" w:cs="Calibri" w:eastAsia="Calibri" w:hAnsi="Calibri"/>
          <w:color w:val="1E293B"/>
          <w:sz w:val="22"/>
          <w:szCs w:val="22"/>
        </w:rPr>
        <w:t xml:space="preserve"> 90-day guarantee begins at conversion date.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Guarantee Claims</w:t>
            </w:r>
          </w:p>
          <w:p>
            <w:pPr>
              <w:spacing w:after="120" w:before="0" w:line="276"/>
              <w:jc w:val="left"/>
            </w:pPr>
            <w:r>
              <w:rPr>
                <w:rFonts w:ascii="Calibri" w:cs="Calibri" w:eastAsia="Calibri" w:hAnsi="Calibri"/>
                <w:b w:val="false"/>
                <w:bCs w:val="false"/>
                <w:i w:val="false"/>
                <w:iCs w:val="false"/>
                <w:color w:val="1E293B"/>
                <w:sz w:val="21"/>
                <w:szCs w:val="21"/>
              </w:rPr>
              <w:t xml:space="preserve">When a client invokes the guarantee: (1) Acknowledge within 1 business day, (2) Conduct exit interview with the candidate, (3) Understand the reason for separation, (4) Begin replacement search immediately, (5) Provide first replacement candidates within 10 business days. Document the entire process for financial reconciliation.</w:t>
            </w:r>
          </w:p>
        </w:tc>
      </w:tr>
    </w:tbl>
    <w:p>
      <w:r>
        <w:br w:type="page"/>
      </w:r>
    </w:p>
    <w:p>
      <w:pPr>
        <w:pStyle w:val="Heading1"/>
        <w:spacing w:before="240" w:after="120"/>
      </w:pPr>
      <w:r>
        <w:rPr>
          <w:rFonts w:ascii="Calibri" w:cs="Calibri" w:eastAsia="Calibri" w:hAnsi="Calibri"/>
          <w:b/>
          <w:bCs/>
          <w:color w:val="0F172A"/>
          <w:sz w:val="32"/>
          <w:szCs w:val="32"/>
        </w:rPr>
        <w:t xml:space="preserve">Phase 6: Performance Management &amp; Off-Boarding</w:t>
      </w:r>
    </w:p>
    <w:p>
      <w:pPr>
        <w:pStyle w:val="Heading2"/>
        <w:spacing w:before="240" w:after="120"/>
      </w:pPr>
      <w:r>
        <w:rPr>
          <w:rFonts w:ascii="Calibri" w:cs="Calibri" w:eastAsia="Calibri" w:hAnsi="Calibri"/>
          <w:b/>
          <w:bCs/>
          <w:color w:val="1E3A8A"/>
          <w:sz w:val="26"/>
          <w:szCs w:val="26"/>
        </w:rPr>
        <w:t xml:space="preserve">6.1 Performance Issues</w:t>
      </w:r>
    </w:p>
    <w:p>
      <w:pPr>
        <w:spacing w:after="120" w:before="0" w:line="276"/>
        <w:jc w:val="left"/>
      </w:pPr>
      <w:r>
        <w:rPr>
          <w:rFonts w:ascii="Calibri" w:cs="Calibri" w:eastAsia="Calibri" w:hAnsi="Calibri"/>
          <w:b w:val="false"/>
          <w:bCs w:val="false"/>
          <w:i w:val="false"/>
          <w:iCs w:val="false"/>
          <w:color w:val="1E293B"/>
          <w:sz w:val="22"/>
          <w:szCs w:val="22"/>
        </w:rPr>
        <w:t xml:space="preserve">When performance issues arise with a placed candidate:</w:t>
      </w:r>
    </w:p>
    <w:p>
      <w:pPr>
        <w:pStyle w:val="ListParagraph"/>
        <w:numPr>
          <w:ilvl w:val="0"/>
          <w:numId w:val="1"/>
        </w:numPr>
        <w:spacing w:after="60"/>
      </w:pPr>
      <w:r>
        <w:rPr>
          <w:rFonts w:ascii="Calibri" w:cs="Calibri" w:eastAsia="Calibri" w:hAnsi="Calibri"/>
          <w:b/>
          <w:bCs/>
          <w:color w:val="1E293B"/>
          <w:sz w:val="22"/>
          <w:szCs w:val="22"/>
        </w:rPr>
        <w:t xml:space="preserve">Step 1:</w:t>
      </w:r>
      <w:r>
        <w:rPr>
          <w:rFonts w:ascii="Calibri" w:cs="Calibri" w:eastAsia="Calibri" w:hAnsi="Calibri"/>
          <w:color w:val="1E293B"/>
          <w:sz w:val="22"/>
          <w:szCs w:val="22"/>
        </w:rPr>
        <w:t xml:space="preserve"> Meet with the client to understand the specific concerns</w:t>
      </w:r>
    </w:p>
    <w:p>
      <w:pPr>
        <w:pStyle w:val="ListParagraph"/>
        <w:numPr>
          <w:ilvl w:val="0"/>
          <w:numId w:val="1"/>
        </w:numPr>
        <w:spacing w:after="60"/>
      </w:pPr>
      <w:r>
        <w:rPr>
          <w:rFonts w:ascii="Calibri" w:cs="Calibri" w:eastAsia="Calibri" w:hAnsi="Calibri"/>
          <w:b/>
          <w:bCs/>
          <w:color w:val="1E293B"/>
          <w:sz w:val="22"/>
          <w:szCs w:val="22"/>
        </w:rPr>
        <w:t xml:space="preserve">Step 2:</w:t>
      </w:r>
      <w:r>
        <w:rPr>
          <w:rFonts w:ascii="Calibri" w:cs="Calibri" w:eastAsia="Calibri" w:hAnsi="Calibri"/>
          <w:color w:val="1E293B"/>
          <w:sz w:val="22"/>
          <w:szCs w:val="22"/>
        </w:rPr>
        <w:t xml:space="preserve"> Meet with the candidate to share feedback and develop an improvement plan</w:t>
      </w:r>
    </w:p>
    <w:p>
      <w:pPr>
        <w:pStyle w:val="ListParagraph"/>
        <w:numPr>
          <w:ilvl w:val="0"/>
          <w:numId w:val="1"/>
        </w:numPr>
        <w:spacing w:after="60"/>
      </w:pPr>
      <w:r>
        <w:rPr>
          <w:rFonts w:ascii="Calibri" w:cs="Calibri" w:eastAsia="Calibri" w:hAnsi="Calibri"/>
          <w:b/>
          <w:bCs/>
          <w:color w:val="1E293B"/>
          <w:sz w:val="22"/>
          <w:szCs w:val="22"/>
        </w:rPr>
        <w:t xml:space="preserve">Step 3:</w:t>
      </w:r>
      <w:r>
        <w:rPr>
          <w:rFonts w:ascii="Calibri" w:cs="Calibri" w:eastAsia="Calibri" w:hAnsi="Calibri"/>
          <w:color w:val="1E293B"/>
          <w:sz w:val="22"/>
          <w:szCs w:val="22"/>
        </w:rPr>
        <w:t xml:space="preserve"> Document the performance improvement plan (PIP) with specific, measurable goals</w:t>
      </w:r>
    </w:p>
    <w:p>
      <w:pPr>
        <w:pStyle w:val="ListParagraph"/>
        <w:numPr>
          <w:ilvl w:val="0"/>
          <w:numId w:val="1"/>
        </w:numPr>
        <w:spacing w:after="60"/>
      </w:pPr>
      <w:r>
        <w:rPr>
          <w:rFonts w:ascii="Calibri" w:cs="Calibri" w:eastAsia="Calibri" w:hAnsi="Calibri"/>
          <w:b/>
          <w:bCs/>
          <w:color w:val="1E293B"/>
          <w:sz w:val="22"/>
          <w:szCs w:val="22"/>
        </w:rPr>
        <w:t xml:space="preserve">Step 4:</w:t>
      </w:r>
      <w:r>
        <w:rPr>
          <w:rFonts w:ascii="Calibri" w:cs="Calibri" w:eastAsia="Calibri" w:hAnsi="Calibri"/>
          <w:color w:val="1E293B"/>
          <w:sz w:val="22"/>
          <w:szCs w:val="22"/>
        </w:rPr>
        <w:t xml:space="preserve"> Follow up weekly during the improvement period (typically 30 days)</w:t>
      </w:r>
    </w:p>
    <w:p>
      <w:pPr>
        <w:pStyle w:val="ListParagraph"/>
        <w:numPr>
          <w:ilvl w:val="0"/>
          <w:numId w:val="1"/>
        </w:numPr>
        <w:spacing w:after="60"/>
      </w:pPr>
      <w:r>
        <w:rPr>
          <w:rFonts w:ascii="Calibri" w:cs="Calibri" w:eastAsia="Calibri" w:hAnsi="Calibri"/>
          <w:b/>
          <w:bCs/>
          <w:color w:val="1E293B"/>
          <w:sz w:val="22"/>
          <w:szCs w:val="22"/>
        </w:rPr>
        <w:t xml:space="preserve">Step 5:</w:t>
      </w:r>
      <w:r>
        <w:rPr>
          <w:rFonts w:ascii="Calibri" w:cs="Calibri" w:eastAsia="Calibri" w:hAnsi="Calibri"/>
          <w:color w:val="1E293B"/>
          <w:sz w:val="22"/>
          <w:szCs w:val="22"/>
        </w:rPr>
        <w:t xml:space="preserve"> If no improvement, coordinate transition and begin replacement sourcing</w:t>
      </w:r>
    </w:p>
    <w:p>
      <w:pPr>
        <w:spacing w:before="120" w:after="0"/>
      </w:pPr>
    </w:p>
    <w:p>
      <w:pPr>
        <w:pStyle w:val="Heading2"/>
        <w:spacing w:before="240" w:after="120"/>
      </w:pPr>
      <w:r>
        <w:rPr>
          <w:rFonts w:ascii="Calibri" w:cs="Calibri" w:eastAsia="Calibri" w:hAnsi="Calibri"/>
          <w:b/>
          <w:bCs/>
          <w:color w:val="1E3A8A"/>
          <w:sz w:val="26"/>
          <w:szCs w:val="26"/>
        </w:rPr>
        <w:t xml:space="preserve">6.2 Off-Boarding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Item</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Responsible</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Client notified of end date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Account Manager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Final timesheet submitted and approved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Candidate / Client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Client facility access / badge returned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Candidate</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IT access revoked by client</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Client IT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Exit interview conducted</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Recruiter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Final invoice issued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Finance</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Candidate added to alumni network for future placements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Recruiter</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Client debrief and lessons learned</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Account Manager</w:t>
            </w:r>
          </w:p>
        </w:tc>
      </w:tr>
    </w:tbl>
    <w:p>
      <w:r>
        <w:br w:type="page"/>
      </w:r>
    </w:p>
    <w:p>
      <w:pPr>
        <w:pStyle w:val="Heading1"/>
        <w:spacing w:before="240" w:after="120"/>
      </w:pPr>
      <w:r>
        <w:rPr>
          <w:rFonts w:ascii="Calibri" w:cs="Calibri" w:eastAsia="Calibri" w:hAnsi="Calibri"/>
          <w:b/>
          <w:bCs/>
          <w:color w:val="0F172A"/>
          <w:sz w:val="32"/>
          <w:szCs w:val="32"/>
        </w:rPr>
        <w:t xml:space="preserve">Key Metrics &amp; KPIs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Target</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Measurement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Time to fill (from requirement to start)</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&lt; 30 days (contract), &lt; 45 days (direct)</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ATS tracking</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Submittal-to-interview ratio</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&gt; 50%</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Candidates submitted vs. interviews scheduled</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Interview-to-offer ratio</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&gt; 33%</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Interviews conducted vs. offers extended</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Offer acceptance rate</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&gt; 85%</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Offers extended vs. accepted</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Placement retention (90-day)</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&gt; 90%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Placements active at 90 days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Placement retention (6-month)</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&gt; 85%</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Placements active at 6 months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Client satisfaction (NPS)</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&gt; 60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Post-placement survey</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Gross margin per placement</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&gt; 30%</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Revenue minus candidate cost</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Recruiter productivity</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&gt; 2 placements/month</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Placements per recruiter per month</w:t>
            </w:r>
          </w:p>
        </w:tc>
      </w:tr>
    </w:tbl>
    <w:p>
      <w:r>
        <w:br w:type="page"/>
      </w:r>
    </w:p>
    <w:p>
      <w:pPr>
        <w:pStyle w:val="Heading1"/>
        <w:spacing w:before="240" w:after="120"/>
      </w:pPr>
      <w:r>
        <w:rPr>
          <w:rFonts w:ascii="Calibri" w:cs="Calibri" w:eastAsia="Calibri" w:hAnsi="Calibri"/>
          <w:b/>
          <w:bCs/>
          <w:color w:val="0F172A"/>
          <w:sz w:val="32"/>
          <w:szCs w:val="32"/>
        </w:rPr>
        <w:t xml:space="preserve">SDVOSB &amp; Small Business Compliance</w:t>
      </w:r>
    </w:p>
    <w:p>
      <w:pPr>
        <w:spacing w:after="120" w:before="0" w:line="276"/>
        <w:jc w:val="left"/>
      </w:pPr>
      <w:r>
        <w:rPr>
          <w:rFonts w:ascii="Calibri" w:cs="Calibri" w:eastAsia="Calibri" w:hAnsi="Calibri"/>
          <w:b w:val="false"/>
          <w:bCs w:val="false"/>
          <w:i w:val="false"/>
          <w:iCs w:val="false"/>
          <w:color w:val="1E293B"/>
          <w:sz w:val="22"/>
          <w:szCs w:val="22"/>
        </w:rPr>
        <w:t xml:space="preserve">As an SDVOSB, Dominus Gray must maintain compliance with SBA regulations:</w:t>
      </w:r>
    </w:p>
    <w:p>
      <w:pPr>
        <w:spacing w:before="120" w:after="0"/>
      </w:pPr>
    </w:p>
    <w:p>
      <w:pPr>
        <w:pStyle w:val="ListParagraph"/>
        <w:numPr>
          <w:ilvl w:val="0"/>
          <w:numId w:val="1"/>
        </w:numPr>
        <w:spacing w:after="60"/>
      </w:pPr>
      <w:r>
        <w:rPr>
          <w:rFonts w:ascii="Calibri" w:cs="Calibri" w:eastAsia="Calibri" w:hAnsi="Calibri"/>
          <w:b/>
          <w:bCs/>
          <w:color w:val="1E293B"/>
          <w:sz w:val="22"/>
          <w:szCs w:val="22"/>
        </w:rPr>
        <w:t xml:space="preserve">51% ownership and control</w:t>
      </w:r>
      <w:r>
        <w:rPr>
          <w:rFonts w:ascii="Calibri" w:cs="Calibri" w:eastAsia="Calibri" w:hAnsi="Calibri"/>
          <w:color w:val="1E293B"/>
          <w:sz w:val="22"/>
          <w:szCs w:val="22"/>
        </w:rPr>
        <w:t xml:space="preserve"> by service-disabled veteran(s) must be maintained</w:t>
      </w:r>
    </w:p>
    <w:p>
      <w:pPr>
        <w:pStyle w:val="ListParagraph"/>
        <w:numPr>
          <w:ilvl w:val="0"/>
          <w:numId w:val="1"/>
        </w:numPr>
        <w:spacing w:after="60"/>
      </w:pPr>
      <w:r>
        <w:rPr>
          <w:rFonts w:ascii="Calibri" w:cs="Calibri" w:eastAsia="Calibri" w:hAnsi="Calibri"/>
          <w:b/>
          <w:bCs/>
          <w:color w:val="1E293B"/>
          <w:sz w:val="22"/>
          <w:szCs w:val="22"/>
        </w:rPr>
        <w:t xml:space="preserve">Limitations on subcontracting:</w:t>
      </w:r>
      <w:r>
        <w:rPr>
          <w:rFonts w:ascii="Calibri" w:cs="Calibri" w:eastAsia="Calibri" w:hAnsi="Calibri"/>
          <w:color w:val="1E293B"/>
          <w:sz w:val="22"/>
          <w:szCs w:val="22"/>
        </w:rPr>
        <w:t xml:space="preserve"> For services contracts, DG must perform at least 50% of the contract value with its own employees</w:t>
      </w:r>
    </w:p>
    <w:p>
      <w:pPr>
        <w:pStyle w:val="ListParagraph"/>
        <w:numPr>
          <w:ilvl w:val="0"/>
          <w:numId w:val="1"/>
        </w:numPr>
        <w:spacing w:after="60"/>
      </w:pPr>
      <w:r>
        <w:rPr>
          <w:rFonts w:ascii="Calibri" w:cs="Calibri" w:eastAsia="Calibri" w:hAnsi="Calibri"/>
          <w:b/>
          <w:bCs/>
          <w:color w:val="1E293B"/>
          <w:sz w:val="22"/>
          <w:szCs w:val="22"/>
        </w:rPr>
        <w:t xml:space="preserve">Joint ventures:</w:t>
      </w:r>
      <w:r>
        <w:rPr>
          <w:rFonts w:ascii="Calibri" w:cs="Calibri" w:eastAsia="Calibri" w:hAnsi="Calibri"/>
          <w:color w:val="1E293B"/>
          <w:sz w:val="22"/>
          <w:szCs w:val="22"/>
        </w:rPr>
        <w:t xml:space="preserve"> Must comply with SBA mentor-protégé and joint venture requirements</w:t>
      </w:r>
    </w:p>
    <w:p>
      <w:pPr>
        <w:pStyle w:val="ListParagraph"/>
        <w:numPr>
          <w:ilvl w:val="0"/>
          <w:numId w:val="1"/>
        </w:numPr>
        <w:spacing w:after="60"/>
      </w:pPr>
      <w:r>
        <w:rPr>
          <w:rFonts w:ascii="Calibri" w:cs="Calibri" w:eastAsia="Calibri" w:hAnsi="Calibri"/>
          <w:b/>
          <w:bCs/>
          <w:color w:val="1E293B"/>
          <w:sz w:val="22"/>
          <w:szCs w:val="22"/>
        </w:rPr>
        <w:t xml:space="preserve">Staffing and control:</w:t>
      </w:r>
      <w:r>
        <w:rPr>
          <w:rFonts w:ascii="Calibri" w:cs="Calibri" w:eastAsia="Calibri" w:hAnsi="Calibri"/>
          <w:color w:val="1E293B"/>
          <w:sz w:val="22"/>
          <w:szCs w:val="22"/>
        </w:rPr>
        <w:t xml:space="preserve"> The service-disabled veteran owner must hold the highest officer position and control daily operations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Subcontracting Limitations</w:t>
            </w:r>
          </w:p>
          <w:p>
            <w:pPr>
              <w:spacing w:after="120" w:before="0" w:line="276"/>
              <w:jc w:val="left"/>
            </w:pPr>
            <w:r>
              <w:rPr>
                <w:rFonts w:ascii="Calibri" w:cs="Calibri" w:eastAsia="Calibri" w:hAnsi="Calibri"/>
                <w:b w:val="false"/>
                <w:bCs w:val="false"/>
                <w:i w:val="false"/>
                <w:iCs w:val="false"/>
                <w:color w:val="1E293B"/>
                <w:sz w:val="21"/>
                <w:szCs w:val="21"/>
              </w:rPr>
              <w:t xml:space="preserve">When staffing under an SDVOSB set-aside contract, ensure DG employees (W-2) perform at least 50% of the contract labor. 1099 subcontractors count toward the subcontracting percentage. Track this closely on every SDVOSB contract. Non-compliance can result in contract termination and debarment.</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INTERNAL USE ONLY</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Staffing Operations Playbook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Operations Playbook</dc:title>
  <dc:creator>Dominus Gray, LLC</dc:creator>
  <cp:lastModifiedBy>Un-named</cp:lastModifiedBy>
  <cp:revision>1</cp:revision>
  <dcterms:created xsi:type="dcterms:W3CDTF">2026-02-12T05:43:17.659Z</dcterms:created>
  <dcterms:modified xsi:type="dcterms:W3CDTF">2026-02-12T05:43:17.659Z</dcterms:modified>
</cp:coreProperties>
</file>

<file path=docProps/custom.xml><?xml version="1.0" encoding="utf-8"?>
<Properties xmlns="http://schemas.openxmlformats.org/officeDocument/2006/custom-properties" xmlns:vt="http://schemas.openxmlformats.org/officeDocument/2006/docPropsVTypes"/>
</file>