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V-CISO Operations Playbook</w:t>
      </w:r>
    </w:p>
    <w:p>
      <w:pPr>
        <w:spacing w:after="200"/>
      </w:pPr>
      <w:r>
        <w:rPr>
          <w:rFonts w:ascii="Calibri" w:cs="Calibri" w:eastAsia="Calibri" w:hAnsi="Calibri"/>
          <w:i/>
          <w:iCs/>
          <w:color w:val="475569"/>
          <w:sz w:val="26"/>
          <w:szCs w:val="26"/>
        </w:rPr>
        <w:t xml:space="preserve">Standard Operating Procedure for Virtual CISO Retainer Engagements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February 2026</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INTERNAL USE ONLY</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Purpose &amp; Scope</w:t>
      </w:r>
    </w:p>
    <w:p>
      <w:pPr>
        <w:spacing w:after="120" w:before="0" w:line="276"/>
        <w:jc w:val="left"/>
      </w:pPr>
      <w:r>
        <w:rPr>
          <w:rFonts w:ascii="Calibri" w:cs="Calibri" w:eastAsia="Calibri" w:hAnsi="Calibri"/>
          <w:b w:val="false"/>
          <w:bCs w:val="false"/>
          <w:i w:val="false"/>
          <w:iCs w:val="false"/>
          <w:color w:val="1E293B"/>
          <w:sz w:val="22"/>
          <w:szCs w:val="22"/>
        </w:rPr>
        <w:t xml:space="preserve">This playbook defines how Dominus Gray delivers Virtual CISO (V-CISO) retainer services. It covers client onboarding, the monthly operating cadence, quarterly business reviews, and ongoing security program management. The V-CISO service provides clients with executive-level security leadership without the cost of a full-time hire.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Service Model</w:t>
            </w:r>
          </w:p>
          <w:p>
            <w:pPr>
              <w:spacing w:after="120" w:before="0" w:line="276"/>
              <w:jc w:val="left"/>
            </w:pPr>
            <w:r>
              <w:rPr>
                <w:rFonts w:ascii="Calibri" w:cs="Calibri" w:eastAsia="Calibri" w:hAnsi="Calibri"/>
                <w:b w:val="false"/>
                <w:bCs w:val="false"/>
                <w:i w:val="false"/>
                <w:iCs w:val="false"/>
                <w:color w:val="1E293B"/>
                <w:sz w:val="21"/>
                <w:szCs w:val="21"/>
              </w:rPr>
              <w:t xml:space="preserve">V-CISO engagements are monthly retainers typically ranging from 20–40 hours/month. The V-CISO acts as the client's security executive, attending leadership meetings, managing the security roadmap, and providing strategic guidance on risk management, compliance, and incident response.</w:t>
            </w:r>
          </w:p>
        </w:tc>
      </w:tr>
    </w:tbl>
    <w:p>
      <w:r>
        <w:br w:type="page"/>
      </w:r>
    </w:p>
    <w:p>
      <w:pPr>
        <w:pStyle w:val="Heading1"/>
        <w:spacing w:before="240" w:after="120"/>
      </w:pPr>
      <w:r>
        <w:rPr>
          <w:rFonts w:ascii="Calibri" w:cs="Calibri" w:eastAsia="Calibri" w:hAnsi="Calibri"/>
          <w:b/>
          <w:bCs/>
          <w:color w:val="0F172A"/>
          <w:sz w:val="32"/>
          <w:szCs w:val="32"/>
        </w:rPr>
        <w:t xml:space="preserve">Client Onboarding (Weeks 1–4)</w:t>
      </w:r>
    </w:p>
    <w:p>
      <w:pPr>
        <w:pStyle w:val="Heading2"/>
        <w:spacing w:before="240" w:after="120"/>
      </w:pPr>
      <w:r>
        <w:rPr>
          <w:rFonts w:ascii="Calibri" w:cs="Calibri" w:eastAsia="Calibri" w:hAnsi="Calibri"/>
          <w:b/>
          <w:bCs/>
          <w:color w:val="1E3A8A"/>
          <w:sz w:val="26"/>
          <w:szCs w:val="26"/>
        </w:rPr>
        <w:t xml:space="preserve">Week 1: Discovery &amp; Baseline</w:t>
      </w:r>
    </w:p>
    <w:p>
      <w:pPr>
        <w:spacing w:after="120" w:before="0" w:line="276"/>
        <w:jc w:val="left"/>
      </w:pPr>
      <w:r>
        <w:rPr>
          <w:rFonts w:ascii="Calibri" w:cs="Calibri" w:eastAsia="Calibri" w:hAnsi="Calibri"/>
          <w:b w:val="false"/>
          <w:bCs w:val="false"/>
          <w:i w:val="false"/>
          <w:iCs w:val="false"/>
          <w:color w:val="1E293B"/>
          <w:sz w:val="22"/>
          <w:szCs w:val="22"/>
        </w:rPr>
        <w:t xml:space="preserve">The first week establishes the security baseline:</w:t>
      </w:r>
    </w:p>
    <w:p>
      <w:pPr>
        <w:pStyle w:val="ListParagraph"/>
        <w:numPr>
          <w:ilvl w:val="0"/>
          <w:numId w:val="1"/>
        </w:numPr>
        <w:spacing w:after="60"/>
      </w:pPr>
      <w:r>
        <w:rPr>
          <w:rFonts w:ascii="Calibri" w:cs="Calibri" w:eastAsia="Calibri" w:hAnsi="Calibri"/>
          <w:color w:val="1E293B"/>
          <w:sz w:val="22"/>
          <w:szCs w:val="22"/>
        </w:rPr>
        <w:t xml:space="preserve">Conduct executive stakeholder interviews (CEO, CTO, CFO, IT Director)</w:t>
      </w:r>
    </w:p>
    <w:p>
      <w:pPr>
        <w:pStyle w:val="ListParagraph"/>
        <w:numPr>
          <w:ilvl w:val="0"/>
          <w:numId w:val="1"/>
        </w:numPr>
        <w:spacing w:after="60"/>
      </w:pPr>
      <w:r>
        <w:rPr>
          <w:rFonts w:ascii="Calibri" w:cs="Calibri" w:eastAsia="Calibri" w:hAnsi="Calibri"/>
          <w:color w:val="1E293B"/>
          <w:sz w:val="22"/>
          <w:szCs w:val="22"/>
        </w:rPr>
        <w:t xml:space="preserve">Inventory existing security tools, vendors, and contracts</w:t>
      </w:r>
    </w:p>
    <w:p>
      <w:pPr>
        <w:pStyle w:val="ListParagraph"/>
        <w:numPr>
          <w:ilvl w:val="0"/>
          <w:numId w:val="1"/>
        </w:numPr>
        <w:spacing w:after="60"/>
      </w:pPr>
      <w:r>
        <w:rPr>
          <w:rFonts w:ascii="Calibri" w:cs="Calibri" w:eastAsia="Calibri" w:hAnsi="Calibri"/>
          <w:color w:val="1E293B"/>
          <w:sz w:val="22"/>
          <w:szCs w:val="22"/>
        </w:rPr>
        <w:t xml:space="preserve">Review current policies, procedures, and standards</w:t>
      </w:r>
    </w:p>
    <w:p>
      <w:pPr>
        <w:pStyle w:val="ListParagraph"/>
        <w:numPr>
          <w:ilvl w:val="0"/>
          <w:numId w:val="1"/>
        </w:numPr>
        <w:spacing w:after="60"/>
      </w:pPr>
      <w:r>
        <w:rPr>
          <w:rFonts w:ascii="Calibri" w:cs="Calibri" w:eastAsia="Calibri" w:hAnsi="Calibri"/>
          <w:color w:val="1E293B"/>
          <w:sz w:val="22"/>
          <w:szCs w:val="22"/>
        </w:rPr>
        <w:t xml:space="preserve">Assess current compliance obligations (CMMC, DFARS, NIST, HIPAA, etc.)</w:t>
      </w:r>
    </w:p>
    <w:p>
      <w:pPr>
        <w:pStyle w:val="ListParagraph"/>
        <w:numPr>
          <w:ilvl w:val="0"/>
          <w:numId w:val="1"/>
        </w:numPr>
        <w:spacing w:after="60"/>
      </w:pPr>
      <w:r>
        <w:rPr>
          <w:rFonts w:ascii="Calibri" w:cs="Calibri" w:eastAsia="Calibri" w:hAnsi="Calibri"/>
          <w:color w:val="1E293B"/>
          <w:sz w:val="22"/>
          <w:szCs w:val="22"/>
        </w:rPr>
        <w:t xml:space="preserve">Document current organizational structure and security responsibilities</w:t>
      </w:r>
    </w:p>
    <w:p>
      <w:pPr>
        <w:pStyle w:val="ListParagraph"/>
        <w:numPr>
          <w:ilvl w:val="0"/>
          <w:numId w:val="1"/>
        </w:numPr>
        <w:spacing w:after="60"/>
      </w:pPr>
      <w:r>
        <w:rPr>
          <w:rFonts w:ascii="Calibri" w:cs="Calibri" w:eastAsia="Calibri" w:hAnsi="Calibri"/>
          <w:color w:val="1E293B"/>
          <w:sz w:val="22"/>
          <w:szCs w:val="22"/>
        </w:rPr>
        <w:t xml:space="preserve">Identify quick wins that demonstrate immediate value</w:t>
      </w:r>
    </w:p>
    <w:p>
      <w:pPr>
        <w:spacing w:before="120" w:after="0"/>
      </w:pPr>
    </w:p>
    <w:p>
      <w:pPr>
        <w:pStyle w:val="Heading2"/>
        <w:spacing w:before="240" w:after="120"/>
      </w:pPr>
      <w:r>
        <w:rPr>
          <w:rFonts w:ascii="Calibri" w:cs="Calibri" w:eastAsia="Calibri" w:hAnsi="Calibri"/>
          <w:b/>
          <w:bCs/>
          <w:color w:val="1E3A8A"/>
          <w:sz w:val="26"/>
          <w:szCs w:val="26"/>
        </w:rPr>
        <w:t xml:space="preserve">Week 2: Risk Assessment &amp; Gap Analysis</w:t>
      </w:r>
    </w:p>
    <w:p>
      <w:pPr>
        <w:pStyle w:val="ListParagraph"/>
        <w:numPr>
          <w:ilvl w:val="0"/>
          <w:numId w:val="1"/>
        </w:numPr>
        <w:spacing w:after="60"/>
      </w:pPr>
      <w:r>
        <w:rPr>
          <w:rFonts w:ascii="Calibri" w:cs="Calibri" w:eastAsia="Calibri" w:hAnsi="Calibri"/>
          <w:color w:val="1E293B"/>
          <w:sz w:val="22"/>
          <w:szCs w:val="22"/>
        </w:rPr>
        <w:t xml:space="preserve">Conduct initial risk assessment using NIST CSF 2.0 framework</w:t>
      </w:r>
    </w:p>
    <w:p>
      <w:pPr>
        <w:pStyle w:val="ListParagraph"/>
        <w:numPr>
          <w:ilvl w:val="0"/>
          <w:numId w:val="1"/>
        </w:numPr>
        <w:spacing w:after="60"/>
      </w:pPr>
      <w:r>
        <w:rPr>
          <w:rFonts w:ascii="Calibri" w:cs="Calibri" w:eastAsia="Calibri" w:hAnsi="Calibri"/>
          <w:color w:val="1E293B"/>
          <w:sz w:val="22"/>
          <w:szCs w:val="22"/>
        </w:rPr>
        <w:t xml:space="preserve">Identify top 10 risks with likelihood and impact scoring</w:t>
      </w:r>
    </w:p>
    <w:p>
      <w:pPr>
        <w:pStyle w:val="ListParagraph"/>
        <w:numPr>
          <w:ilvl w:val="0"/>
          <w:numId w:val="1"/>
        </w:numPr>
        <w:spacing w:after="60"/>
      </w:pPr>
      <w:r>
        <w:rPr>
          <w:rFonts w:ascii="Calibri" w:cs="Calibri" w:eastAsia="Calibri" w:hAnsi="Calibri"/>
          <w:color w:val="1E293B"/>
          <w:sz w:val="22"/>
          <w:szCs w:val="22"/>
        </w:rPr>
        <w:t xml:space="preserve">Create initial risk register</w:t>
      </w:r>
    </w:p>
    <w:p>
      <w:pPr>
        <w:pStyle w:val="ListParagraph"/>
        <w:numPr>
          <w:ilvl w:val="0"/>
          <w:numId w:val="1"/>
        </w:numPr>
        <w:spacing w:after="60"/>
      </w:pPr>
      <w:r>
        <w:rPr>
          <w:rFonts w:ascii="Calibri" w:cs="Calibri" w:eastAsia="Calibri" w:hAnsi="Calibri"/>
          <w:color w:val="1E293B"/>
          <w:sz w:val="22"/>
          <w:szCs w:val="22"/>
        </w:rPr>
        <w:t xml:space="preserve">Assess security posture maturity on a 1–5 scale across all domains</w:t>
      </w:r>
    </w:p>
    <w:p>
      <w:pPr>
        <w:pStyle w:val="ListParagraph"/>
        <w:numPr>
          <w:ilvl w:val="0"/>
          <w:numId w:val="1"/>
        </w:numPr>
        <w:spacing w:after="60"/>
      </w:pPr>
      <w:r>
        <w:rPr>
          <w:rFonts w:ascii="Calibri" w:cs="Calibri" w:eastAsia="Calibri" w:hAnsi="Calibri"/>
          <w:color w:val="1E293B"/>
          <w:sz w:val="22"/>
          <w:szCs w:val="22"/>
        </w:rPr>
        <w:t xml:space="preserve">Document findings in the baseline assessment report</w:t>
      </w:r>
    </w:p>
    <w:p>
      <w:pPr>
        <w:spacing w:before="120" w:after="0"/>
      </w:pPr>
    </w:p>
    <w:p>
      <w:pPr>
        <w:pStyle w:val="Heading2"/>
        <w:spacing w:before="240" w:after="120"/>
      </w:pPr>
      <w:r>
        <w:rPr>
          <w:rFonts w:ascii="Calibri" w:cs="Calibri" w:eastAsia="Calibri" w:hAnsi="Calibri"/>
          <w:b/>
          <w:bCs/>
          <w:color w:val="1E3A8A"/>
          <w:sz w:val="26"/>
          <w:szCs w:val="26"/>
        </w:rPr>
        <w:t xml:space="preserve">Week 3: Strategic Roadmap Development</w:t>
      </w:r>
    </w:p>
    <w:p>
      <w:pPr>
        <w:pStyle w:val="ListParagraph"/>
        <w:numPr>
          <w:ilvl w:val="0"/>
          <w:numId w:val="1"/>
        </w:numPr>
        <w:spacing w:after="60"/>
      </w:pPr>
      <w:r>
        <w:rPr>
          <w:rFonts w:ascii="Calibri" w:cs="Calibri" w:eastAsia="Calibri" w:hAnsi="Calibri"/>
          <w:color w:val="1E293B"/>
          <w:sz w:val="22"/>
          <w:szCs w:val="22"/>
        </w:rPr>
        <w:t xml:space="preserve">Develop 12-month security improvement roadmap</w:t>
      </w:r>
    </w:p>
    <w:p>
      <w:pPr>
        <w:pStyle w:val="ListParagraph"/>
        <w:numPr>
          <w:ilvl w:val="0"/>
          <w:numId w:val="1"/>
        </w:numPr>
        <w:spacing w:after="60"/>
      </w:pPr>
      <w:r>
        <w:rPr>
          <w:rFonts w:ascii="Calibri" w:cs="Calibri" w:eastAsia="Calibri" w:hAnsi="Calibri"/>
          <w:color w:val="1E293B"/>
          <w:sz w:val="22"/>
          <w:szCs w:val="22"/>
        </w:rPr>
        <w:t xml:space="preserve">Prioritize initiatives by risk reduction, cost, and effort</w:t>
      </w:r>
    </w:p>
    <w:p>
      <w:pPr>
        <w:pStyle w:val="ListParagraph"/>
        <w:numPr>
          <w:ilvl w:val="0"/>
          <w:numId w:val="1"/>
        </w:numPr>
        <w:spacing w:after="60"/>
      </w:pPr>
      <w:r>
        <w:rPr>
          <w:rFonts w:ascii="Calibri" w:cs="Calibri" w:eastAsia="Calibri" w:hAnsi="Calibri"/>
          <w:color w:val="1E293B"/>
          <w:sz w:val="22"/>
          <w:szCs w:val="22"/>
        </w:rPr>
        <w:t xml:space="preserve">Align roadmap with business objectives and compliance deadlines</w:t>
      </w:r>
    </w:p>
    <w:p>
      <w:pPr>
        <w:pStyle w:val="ListParagraph"/>
        <w:numPr>
          <w:ilvl w:val="0"/>
          <w:numId w:val="1"/>
        </w:numPr>
        <w:spacing w:after="60"/>
      </w:pPr>
      <w:r>
        <w:rPr>
          <w:rFonts w:ascii="Calibri" w:cs="Calibri" w:eastAsia="Calibri" w:hAnsi="Calibri"/>
          <w:color w:val="1E293B"/>
          <w:sz w:val="22"/>
          <w:szCs w:val="22"/>
        </w:rPr>
        <w:t xml:space="preserve">Estimate budget requirements for recommended initiatives</w:t>
      </w:r>
    </w:p>
    <w:p>
      <w:pPr>
        <w:pStyle w:val="ListParagraph"/>
        <w:numPr>
          <w:ilvl w:val="0"/>
          <w:numId w:val="1"/>
        </w:numPr>
        <w:spacing w:after="60"/>
      </w:pPr>
      <w:r>
        <w:rPr>
          <w:rFonts w:ascii="Calibri" w:cs="Calibri" w:eastAsia="Calibri" w:hAnsi="Calibri"/>
          <w:color w:val="1E293B"/>
          <w:sz w:val="22"/>
          <w:szCs w:val="22"/>
        </w:rPr>
        <w:t xml:space="preserve">Present draft roadmap to executive sponsor for feedback</w:t>
      </w:r>
    </w:p>
    <w:p>
      <w:pPr>
        <w:spacing w:before="120" w:after="0"/>
      </w:pPr>
    </w:p>
    <w:p>
      <w:pPr>
        <w:pStyle w:val="Heading2"/>
        <w:spacing w:before="240" w:after="120"/>
      </w:pPr>
      <w:r>
        <w:rPr>
          <w:rFonts w:ascii="Calibri" w:cs="Calibri" w:eastAsia="Calibri" w:hAnsi="Calibri"/>
          <w:b/>
          <w:bCs/>
          <w:color w:val="1E3A8A"/>
          <w:sz w:val="26"/>
          <w:szCs w:val="26"/>
        </w:rPr>
        <w:t xml:space="preserve">Week 4: Operationalize</w:t>
      </w:r>
    </w:p>
    <w:p>
      <w:pPr>
        <w:pStyle w:val="ListParagraph"/>
        <w:numPr>
          <w:ilvl w:val="0"/>
          <w:numId w:val="1"/>
        </w:numPr>
        <w:spacing w:after="60"/>
      </w:pPr>
      <w:r>
        <w:rPr>
          <w:rFonts w:ascii="Calibri" w:cs="Calibri" w:eastAsia="Calibri" w:hAnsi="Calibri"/>
          <w:color w:val="1E293B"/>
          <w:sz w:val="22"/>
          <w:szCs w:val="22"/>
        </w:rPr>
        <w:t xml:space="preserve">Establish communication cadence (weekly check-ins, monthly reports, quarterly reviews)</w:t>
      </w:r>
    </w:p>
    <w:p>
      <w:pPr>
        <w:pStyle w:val="ListParagraph"/>
        <w:numPr>
          <w:ilvl w:val="0"/>
          <w:numId w:val="1"/>
        </w:numPr>
        <w:spacing w:after="60"/>
      </w:pPr>
      <w:r>
        <w:rPr>
          <w:rFonts w:ascii="Calibri" w:cs="Calibri" w:eastAsia="Calibri" w:hAnsi="Calibri"/>
          <w:color w:val="1E293B"/>
          <w:sz w:val="22"/>
          <w:szCs w:val="22"/>
        </w:rPr>
        <w:t xml:space="preserve">Set up monitoring dashboards and metric collection processes</w:t>
      </w:r>
    </w:p>
    <w:p>
      <w:pPr>
        <w:pStyle w:val="ListParagraph"/>
        <w:numPr>
          <w:ilvl w:val="0"/>
          <w:numId w:val="1"/>
        </w:numPr>
        <w:spacing w:after="60"/>
      </w:pPr>
      <w:r>
        <w:rPr>
          <w:rFonts w:ascii="Calibri" w:cs="Calibri" w:eastAsia="Calibri" w:hAnsi="Calibri"/>
          <w:color w:val="1E293B"/>
          <w:sz w:val="22"/>
          <w:szCs w:val="22"/>
        </w:rPr>
        <w:t xml:space="preserve">Configure access to client security tools (SIEM, vulnerability scanner, endpoint protection)</w:t>
      </w:r>
    </w:p>
    <w:p>
      <w:pPr>
        <w:pStyle w:val="ListParagraph"/>
        <w:numPr>
          <w:ilvl w:val="0"/>
          <w:numId w:val="1"/>
        </w:numPr>
        <w:spacing w:after="60"/>
      </w:pPr>
      <w:r>
        <w:rPr>
          <w:rFonts w:ascii="Calibri" w:cs="Calibri" w:eastAsia="Calibri" w:hAnsi="Calibri"/>
          <w:color w:val="1E293B"/>
          <w:sz w:val="22"/>
          <w:szCs w:val="22"/>
        </w:rPr>
        <w:t xml:space="preserve">Create the client's security SharePoint/shared drive folder structure</w:t>
      </w:r>
    </w:p>
    <w:p>
      <w:pPr>
        <w:pStyle w:val="ListParagraph"/>
        <w:numPr>
          <w:ilvl w:val="0"/>
          <w:numId w:val="1"/>
        </w:numPr>
        <w:spacing w:after="60"/>
      </w:pPr>
      <w:r>
        <w:rPr>
          <w:rFonts w:ascii="Calibri" w:cs="Calibri" w:eastAsia="Calibri" w:hAnsi="Calibri"/>
          <w:color w:val="1E293B"/>
          <w:sz w:val="22"/>
          <w:szCs w:val="22"/>
        </w:rPr>
        <w:t xml:space="preserve">Deliver onboarding summary and finalized roadmap</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59669" w:sz="1"/>
              <w:left w:val="single" w:color="059669" w:sz="12"/>
              <w:bottom w:val="single" w:color="059669" w:sz="1"/>
              <w:right w:val="single" w:color="059669" w:sz="1"/>
            </w:tcBorders>
            <w:shd w:color="ECFDF5" w:val="solid"/>
          </w:tcPr>
          <w:p>
            <w:pPr>
              <w:spacing w:after="60"/>
            </w:pPr>
            <w:r>
              <w:rPr>
                <w:rFonts w:ascii="Calibri" w:cs="Calibri" w:eastAsia="Calibri" w:hAnsi="Calibri"/>
                <w:b/>
                <w:bCs/>
                <w:color w:val="059669"/>
                <w:sz w:val="22"/>
                <w:szCs w:val="22"/>
              </w:rPr>
              <w:t xml:space="preserve">✓ Onboarding Deliverables</w:t>
            </w:r>
          </w:p>
          <w:p>
            <w:pPr>
              <w:spacing w:after="120" w:before="0" w:line="276"/>
              <w:jc w:val="left"/>
            </w:pPr>
            <w:r>
              <w:rPr>
                <w:rFonts w:ascii="Calibri" w:cs="Calibri" w:eastAsia="Calibri" w:hAnsi="Calibri"/>
                <w:b w:val="false"/>
                <w:bCs w:val="false"/>
                <w:i w:val="false"/>
                <w:iCs w:val="false"/>
                <w:color w:val="1E293B"/>
                <w:sz w:val="21"/>
                <w:szCs w:val="21"/>
              </w:rPr>
              <w:t xml:space="preserve">At the end of onboarding, the client must have: (1) Security baseline assessment, (2) Risk register, (3) 12-month security roadmap, (4) Monthly reporting template, (5) Communication plan and escalation procedures.</w:t>
            </w:r>
          </w:p>
        </w:tc>
      </w:tr>
    </w:tbl>
    <w:p>
      <w:r>
        <w:br w:type="page"/>
      </w:r>
    </w:p>
    <w:p>
      <w:pPr>
        <w:pStyle w:val="Heading1"/>
        <w:spacing w:before="240" w:after="120"/>
      </w:pPr>
      <w:r>
        <w:rPr>
          <w:rFonts w:ascii="Calibri" w:cs="Calibri" w:eastAsia="Calibri" w:hAnsi="Calibri"/>
          <w:b/>
          <w:bCs/>
          <w:color w:val="0F172A"/>
          <w:sz w:val="32"/>
          <w:szCs w:val="32"/>
        </w:rPr>
        <w:t xml:space="preserve">Monthly Operating Cadence</w:t>
      </w:r>
    </w:p>
    <w:p>
      <w:pPr>
        <w:spacing w:after="120" w:before="0" w:line="276"/>
        <w:jc w:val="left"/>
      </w:pPr>
      <w:r>
        <w:rPr>
          <w:rFonts w:ascii="Calibri" w:cs="Calibri" w:eastAsia="Calibri" w:hAnsi="Calibri"/>
          <w:b w:val="false"/>
          <w:bCs w:val="false"/>
          <w:i w:val="false"/>
          <w:iCs w:val="false"/>
          <w:color w:val="1E293B"/>
          <w:sz w:val="22"/>
          <w:szCs w:val="22"/>
        </w:rPr>
        <w:t xml:space="preserve">Each month follows a structured cadence to ensure consistent service delivery:</w:t>
      </w:r>
    </w:p>
    <w:p>
      <w:pPr>
        <w:spacing w:before="120" w:after="0"/>
      </w:pPr>
    </w:p>
    <w:p>
      <w:pPr>
        <w:pStyle w:val="Heading2"/>
        <w:spacing w:before="240" w:after="120"/>
      </w:pPr>
      <w:r>
        <w:rPr>
          <w:rFonts w:ascii="Calibri" w:cs="Calibri" w:eastAsia="Calibri" w:hAnsi="Calibri"/>
          <w:b/>
          <w:bCs/>
          <w:color w:val="1E3A8A"/>
          <w:sz w:val="26"/>
          <w:szCs w:val="26"/>
        </w:rPr>
        <w:t xml:space="preserve">Week 1: Intelligence &amp; Monitoring Review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Time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Output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Review threat intelligence feeds relevant to client's industry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Threat briefing notes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Review vulnerability scan results and prioritize remediation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3 hrs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Remediation priorities list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Check SIEM alerts and security events for anomalies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Event summary</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Review security news for relevant vulnerabilities (CVEs)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Patch priority advisory</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Update risk register with new or changed risks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Updated risk register</w:t>
            </w:r>
          </w:p>
        </w:tc>
      </w:tr>
    </w:tbl>
    <w:p>
      <w:pPr>
        <w:spacing w:before="120" w:after="0"/>
      </w:pPr>
    </w:p>
    <w:p>
      <w:pPr>
        <w:pStyle w:val="Heading2"/>
        <w:spacing w:before="240" w:after="120"/>
      </w:pPr>
      <w:r>
        <w:rPr>
          <w:rFonts w:ascii="Calibri" w:cs="Calibri" w:eastAsia="Calibri" w:hAnsi="Calibri"/>
          <w:b/>
          <w:bCs/>
          <w:color w:val="1E3A8A"/>
          <w:sz w:val="26"/>
          <w:szCs w:val="26"/>
        </w:rPr>
        <w:t xml:space="preserve">Week 2: Operational Security Activities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Time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Output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Policy and procedure reviews/updates (rotating schedule)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3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Updated policies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Security awareness activities or communications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Training/comms materials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Vendor security reviews (rotating quarterly schedule)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Vendor assessment findings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Access control reviews (new hires, terminations, role changes)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Access audit log</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Security project oversight and milestone tracking</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Project status updates</w:t>
            </w:r>
          </w:p>
        </w:tc>
      </w:tr>
    </w:tbl>
    <w:p>
      <w:pPr>
        <w:spacing w:before="120" w:after="0"/>
      </w:pPr>
    </w:p>
    <w:p>
      <w:pPr>
        <w:pStyle w:val="Heading2"/>
        <w:spacing w:before="240" w:after="120"/>
      </w:pPr>
      <w:r>
        <w:rPr>
          <w:rFonts w:ascii="Calibri" w:cs="Calibri" w:eastAsia="Calibri" w:hAnsi="Calibri"/>
          <w:b/>
          <w:bCs/>
          <w:color w:val="1E3A8A"/>
          <w:sz w:val="26"/>
          <w:szCs w:val="26"/>
        </w:rPr>
        <w:t xml:space="preserve">Week 3: Strategic &amp; Advisory Activities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Time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Output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Leadership/board meeting participation (if scheduled)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Meeting notes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Compliance monitoring and evidence collection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3 hrs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Compliance tracker updates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Budget review and security investment recommendations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Budget memo</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Architecture and design reviews for new projects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Security review findings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Mentor and develop client's internal security personnel</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Development notes</w:t>
            </w:r>
          </w:p>
        </w:tc>
      </w:tr>
    </w:tbl>
    <w:p>
      <w:pPr>
        <w:spacing w:before="120" w:after="0"/>
      </w:pPr>
    </w:p>
    <w:p>
      <w:pPr>
        <w:pStyle w:val="Heading2"/>
        <w:spacing w:before="240" w:after="120"/>
      </w:pPr>
      <w:r>
        <w:rPr>
          <w:rFonts w:ascii="Calibri" w:cs="Calibri" w:eastAsia="Calibri" w:hAnsi="Calibri"/>
          <w:b/>
          <w:bCs/>
          <w:color w:val="1E3A8A"/>
          <w:sz w:val="26"/>
          <w:szCs w:val="26"/>
        </w:rPr>
        <w:t xml:space="preserve">Week 4: Reporting &amp; Planning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Time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Output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Compile monthly security metrics and KPIs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2 hrs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Metrics dashboard</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Draft V-CISO Monthly Report</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4 hrs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Monthly report (use template)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Present monthly report to executive sponsor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Presentation deck</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Plan next month's priorities and activities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Next month plan</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Update roadmap progress tracker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 hr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Roadmap update</w:t>
            </w:r>
          </w:p>
        </w:tc>
      </w:tr>
    </w:tbl>
    <w:p>
      <w:r>
        <w:br w:type="page"/>
      </w:r>
    </w:p>
    <w:p>
      <w:pPr>
        <w:pStyle w:val="Heading1"/>
        <w:spacing w:before="240" w:after="120"/>
      </w:pPr>
      <w:r>
        <w:rPr>
          <w:rFonts w:ascii="Calibri" w:cs="Calibri" w:eastAsia="Calibri" w:hAnsi="Calibri"/>
          <w:b/>
          <w:bCs/>
          <w:color w:val="0F172A"/>
          <w:sz w:val="32"/>
          <w:szCs w:val="32"/>
        </w:rPr>
        <w:t xml:space="preserve">Monthly Report Content</w:t>
      </w:r>
    </w:p>
    <w:p>
      <w:pPr>
        <w:spacing w:after="120" w:before="0" w:line="276"/>
        <w:jc w:val="left"/>
      </w:pPr>
      <w:r>
        <w:rPr>
          <w:rFonts w:ascii="Calibri" w:cs="Calibri" w:eastAsia="Calibri" w:hAnsi="Calibri"/>
          <w:b w:val="false"/>
          <w:bCs w:val="false"/>
          <w:i w:val="false"/>
          <w:iCs w:val="false"/>
          <w:color w:val="1E293B"/>
          <w:sz w:val="22"/>
          <w:szCs w:val="22"/>
        </w:rPr>
        <w:t xml:space="preserve">Every monthly report must include these sections (use the V-CISO Monthly Report template):</w:t>
      </w:r>
    </w:p>
    <w:p>
      <w:pPr>
        <w:spacing w:before="120" w:after="0"/>
      </w:pPr>
    </w:p>
    <w:p>
      <w:pPr>
        <w:pStyle w:val="ListParagraph"/>
        <w:numPr>
          <w:ilvl w:val="0"/>
          <w:numId w:val="1"/>
        </w:numPr>
        <w:spacing w:after="60"/>
      </w:pPr>
      <w:r>
        <w:rPr>
          <w:rFonts w:ascii="Calibri" w:cs="Calibri" w:eastAsia="Calibri" w:hAnsi="Calibri"/>
          <w:b/>
          <w:bCs/>
          <w:color w:val="1E293B"/>
          <w:sz w:val="22"/>
          <w:szCs w:val="22"/>
        </w:rPr>
        <w:t xml:space="preserve">Executive Summary</w:t>
      </w:r>
      <w:r>
        <w:rPr>
          <w:rFonts w:ascii="Calibri" w:cs="Calibri" w:eastAsia="Calibri" w:hAnsi="Calibri"/>
          <w:color w:val="1E293B"/>
          <w:sz w:val="22"/>
          <w:szCs w:val="22"/>
        </w:rPr>
        <w:t xml:space="preserve"> — 1 paragraph on overall security posture and key developments</w:t>
      </w:r>
    </w:p>
    <w:p>
      <w:pPr>
        <w:pStyle w:val="ListParagraph"/>
        <w:numPr>
          <w:ilvl w:val="0"/>
          <w:numId w:val="1"/>
        </w:numPr>
        <w:spacing w:after="60"/>
      </w:pPr>
      <w:r>
        <w:rPr>
          <w:rFonts w:ascii="Calibri" w:cs="Calibri" w:eastAsia="Calibri" w:hAnsi="Calibri"/>
          <w:b/>
          <w:bCs/>
          <w:color w:val="1E293B"/>
          <w:sz w:val="22"/>
          <w:szCs w:val="22"/>
        </w:rPr>
        <w:t xml:space="preserve">Security Metrics Dashboard</w:t>
      </w:r>
      <w:r>
        <w:rPr>
          <w:rFonts w:ascii="Calibri" w:cs="Calibri" w:eastAsia="Calibri" w:hAnsi="Calibri"/>
          <w:color w:val="1E293B"/>
          <w:sz w:val="22"/>
          <w:szCs w:val="22"/>
        </w:rPr>
        <w:t xml:space="preserve"> — KPIs with trend indicators (improving/stable/declining)</w:t>
      </w:r>
    </w:p>
    <w:p>
      <w:pPr>
        <w:pStyle w:val="ListParagraph"/>
        <w:numPr>
          <w:ilvl w:val="0"/>
          <w:numId w:val="1"/>
        </w:numPr>
        <w:spacing w:after="60"/>
      </w:pPr>
      <w:r>
        <w:rPr>
          <w:rFonts w:ascii="Calibri" w:cs="Calibri" w:eastAsia="Calibri" w:hAnsi="Calibri"/>
          <w:b/>
          <w:bCs/>
          <w:color w:val="1E293B"/>
          <w:sz w:val="22"/>
          <w:szCs w:val="22"/>
        </w:rPr>
        <w:t xml:space="preserve">CMMC/Compliance Progress</w:t>
      </w:r>
      <w:r>
        <w:rPr>
          <w:rFonts w:ascii="Calibri" w:cs="Calibri" w:eastAsia="Calibri" w:hAnsi="Calibri"/>
          <w:color w:val="1E293B"/>
          <w:sz w:val="22"/>
          <w:szCs w:val="22"/>
        </w:rPr>
        <w:t xml:space="preserve"> — If applicable, progress toward compliance milestones</w:t>
      </w:r>
    </w:p>
    <w:p>
      <w:pPr>
        <w:pStyle w:val="ListParagraph"/>
        <w:numPr>
          <w:ilvl w:val="0"/>
          <w:numId w:val="1"/>
        </w:numPr>
        <w:spacing w:after="60"/>
      </w:pPr>
      <w:r>
        <w:rPr>
          <w:rFonts w:ascii="Calibri" w:cs="Calibri" w:eastAsia="Calibri" w:hAnsi="Calibri"/>
          <w:b/>
          <w:bCs/>
          <w:color w:val="1E293B"/>
          <w:sz w:val="22"/>
          <w:szCs w:val="22"/>
        </w:rPr>
        <w:t xml:space="preserve">Threat Landscape</w:t>
      </w:r>
      <w:r>
        <w:rPr>
          <w:rFonts w:ascii="Calibri" w:cs="Calibri" w:eastAsia="Calibri" w:hAnsi="Calibri"/>
          <w:color w:val="1E293B"/>
          <w:sz w:val="22"/>
          <w:szCs w:val="22"/>
        </w:rPr>
        <w:t xml:space="preserve"> — Industry-relevant threats and client-specific concerns</w:t>
      </w:r>
    </w:p>
    <w:p>
      <w:pPr>
        <w:pStyle w:val="ListParagraph"/>
        <w:numPr>
          <w:ilvl w:val="0"/>
          <w:numId w:val="1"/>
        </w:numPr>
        <w:spacing w:after="60"/>
      </w:pPr>
      <w:r>
        <w:rPr>
          <w:rFonts w:ascii="Calibri" w:cs="Calibri" w:eastAsia="Calibri" w:hAnsi="Calibri"/>
          <w:b/>
          <w:bCs/>
          <w:color w:val="1E293B"/>
          <w:sz w:val="22"/>
          <w:szCs w:val="22"/>
        </w:rPr>
        <w:t xml:space="preserve">Vulnerability Management</w:t>
      </w:r>
      <w:r>
        <w:rPr>
          <w:rFonts w:ascii="Calibri" w:cs="Calibri" w:eastAsia="Calibri" w:hAnsi="Calibri"/>
          <w:color w:val="1E293B"/>
          <w:sz w:val="22"/>
          <w:szCs w:val="22"/>
        </w:rPr>
        <w:t xml:space="preserve"> — Open vulnerabilities by severity, patch compliance rates</w:t>
      </w:r>
    </w:p>
    <w:p>
      <w:pPr>
        <w:pStyle w:val="ListParagraph"/>
        <w:numPr>
          <w:ilvl w:val="0"/>
          <w:numId w:val="1"/>
        </w:numPr>
        <w:spacing w:after="60"/>
      </w:pPr>
      <w:r>
        <w:rPr>
          <w:rFonts w:ascii="Calibri" w:cs="Calibri" w:eastAsia="Calibri" w:hAnsi="Calibri"/>
          <w:b/>
          <w:bCs/>
          <w:color w:val="1E293B"/>
          <w:sz w:val="22"/>
          <w:szCs w:val="22"/>
        </w:rPr>
        <w:t xml:space="preserve">Incident Summary</w:t>
      </w:r>
      <w:r>
        <w:rPr>
          <w:rFonts w:ascii="Calibri" w:cs="Calibri" w:eastAsia="Calibri" w:hAnsi="Calibri"/>
          <w:color w:val="1E293B"/>
          <w:sz w:val="22"/>
          <w:szCs w:val="22"/>
        </w:rPr>
        <w:t xml:space="preserve"> — Any security events or incidents during the month</w:t>
      </w:r>
    </w:p>
    <w:p>
      <w:pPr>
        <w:pStyle w:val="ListParagraph"/>
        <w:numPr>
          <w:ilvl w:val="0"/>
          <w:numId w:val="1"/>
        </w:numPr>
        <w:spacing w:after="60"/>
      </w:pPr>
      <w:r>
        <w:rPr>
          <w:rFonts w:ascii="Calibri" w:cs="Calibri" w:eastAsia="Calibri" w:hAnsi="Calibri"/>
          <w:b/>
          <w:bCs/>
          <w:color w:val="1E293B"/>
          <w:sz w:val="22"/>
          <w:szCs w:val="22"/>
        </w:rPr>
        <w:t xml:space="preserve">Risk Register Updates</w:t>
      </w:r>
      <w:r>
        <w:rPr>
          <w:rFonts w:ascii="Calibri" w:cs="Calibri" w:eastAsia="Calibri" w:hAnsi="Calibri"/>
          <w:color w:val="1E293B"/>
          <w:sz w:val="22"/>
          <w:szCs w:val="22"/>
        </w:rPr>
        <w:t xml:space="preserve"> — New, changed, or closed risks</w:t>
      </w:r>
    </w:p>
    <w:p>
      <w:pPr>
        <w:pStyle w:val="ListParagraph"/>
        <w:numPr>
          <w:ilvl w:val="0"/>
          <w:numId w:val="1"/>
        </w:numPr>
        <w:spacing w:after="60"/>
      </w:pPr>
      <w:r>
        <w:rPr>
          <w:rFonts w:ascii="Calibri" w:cs="Calibri" w:eastAsia="Calibri" w:hAnsi="Calibri"/>
          <w:b/>
          <w:bCs/>
          <w:color w:val="1E293B"/>
          <w:sz w:val="22"/>
          <w:szCs w:val="22"/>
        </w:rPr>
        <w:t xml:space="preserve">Roadmap Progress</w:t>
      </w:r>
      <w:r>
        <w:rPr>
          <w:rFonts w:ascii="Calibri" w:cs="Calibri" w:eastAsia="Calibri" w:hAnsi="Calibri"/>
          <w:color w:val="1E293B"/>
          <w:sz w:val="22"/>
          <w:szCs w:val="22"/>
        </w:rPr>
        <w:t xml:space="preserve"> — Status of security improvement initiatives</w:t>
      </w:r>
    </w:p>
    <w:p>
      <w:pPr>
        <w:pStyle w:val="ListParagraph"/>
        <w:numPr>
          <w:ilvl w:val="0"/>
          <w:numId w:val="1"/>
        </w:numPr>
        <w:spacing w:after="60"/>
      </w:pPr>
      <w:r>
        <w:rPr>
          <w:rFonts w:ascii="Calibri" w:cs="Calibri" w:eastAsia="Calibri" w:hAnsi="Calibri"/>
          <w:b/>
          <w:bCs/>
          <w:color w:val="1E293B"/>
          <w:sz w:val="22"/>
          <w:szCs w:val="22"/>
        </w:rPr>
        <w:t xml:space="preserve">Recommendations</w:t>
      </w:r>
      <w:r>
        <w:rPr>
          <w:rFonts w:ascii="Calibri" w:cs="Calibri" w:eastAsia="Calibri" w:hAnsi="Calibri"/>
          <w:color w:val="1E293B"/>
          <w:sz w:val="22"/>
          <w:szCs w:val="22"/>
        </w:rPr>
        <w:t xml:space="preserve"> — Prioritized actions for the coming month</w:t>
      </w:r>
    </w:p>
    <w:p>
      <w:pPr>
        <w:pStyle w:val="ListParagraph"/>
        <w:numPr>
          <w:ilvl w:val="0"/>
          <w:numId w:val="1"/>
        </w:numPr>
        <w:spacing w:after="60"/>
      </w:pPr>
      <w:r>
        <w:rPr>
          <w:rFonts w:ascii="Calibri" w:cs="Calibri" w:eastAsia="Calibri" w:hAnsi="Calibri"/>
          <w:b/>
          <w:bCs/>
          <w:color w:val="1E293B"/>
          <w:sz w:val="22"/>
          <w:szCs w:val="22"/>
        </w:rPr>
        <w:t xml:space="preserve">Budget &amp; Resource Needs</w:t>
      </w:r>
      <w:r>
        <w:rPr>
          <w:rFonts w:ascii="Calibri" w:cs="Calibri" w:eastAsia="Calibri" w:hAnsi="Calibri"/>
          <w:color w:val="1E293B"/>
          <w:sz w:val="22"/>
          <w:szCs w:val="22"/>
        </w:rPr>
        <w:t xml:space="preserve"> — Any investment requirements</w:t>
      </w:r>
    </w:p>
    <w:p>
      <w:pPr>
        <w:spacing w:before="120" w:after="0"/>
      </w:pPr>
    </w:p>
    <w:p>
      <w:pPr>
        <w:pStyle w:val="Heading1"/>
        <w:spacing w:before="240" w:after="120"/>
      </w:pPr>
      <w:r>
        <w:rPr>
          <w:rFonts w:ascii="Calibri" w:cs="Calibri" w:eastAsia="Calibri" w:hAnsi="Calibri"/>
          <w:b/>
          <w:bCs/>
          <w:color w:val="0F172A"/>
          <w:sz w:val="32"/>
          <w:szCs w:val="32"/>
        </w:rPr>
        <w:t xml:space="preserve">Key Performance Indicators (KPIs)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KPI</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Target</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Measurement Source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Mean time to patch critical vulnerabilities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&lt; 14 days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Vulnerability scanner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Phishing simulation click rate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&lt; 5%</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Security awareness platform</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MFA adoption rate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100%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Identity provider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Security training completion rate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&gt; 95%</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LMS/training platform</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Open high/critical vulnerabilities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&lt; 10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Vulnerability scanner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SPRS score (if CMMC applicable)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Trending toward 110</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Assessment tracking</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Security incident response time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&lt; 4 hours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Incident tracking</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Policy review completion (annual)</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100%</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Policy management tracker</w:t>
            </w:r>
          </w:p>
        </w:tc>
      </w:tr>
    </w:tbl>
    <w:p>
      <w:r>
        <w:br w:type="page"/>
      </w:r>
    </w:p>
    <w:p>
      <w:pPr>
        <w:pStyle w:val="Heading1"/>
        <w:spacing w:before="240" w:after="120"/>
      </w:pPr>
      <w:r>
        <w:rPr>
          <w:rFonts w:ascii="Calibri" w:cs="Calibri" w:eastAsia="Calibri" w:hAnsi="Calibri"/>
          <w:b/>
          <w:bCs/>
          <w:color w:val="0F172A"/>
          <w:sz w:val="32"/>
          <w:szCs w:val="32"/>
        </w:rPr>
        <w:t xml:space="preserve">Quarterly Business Review (QBR)</w:t>
      </w:r>
    </w:p>
    <w:p>
      <w:pPr>
        <w:spacing w:after="120" w:before="0" w:line="276"/>
        <w:jc w:val="left"/>
      </w:pPr>
      <w:r>
        <w:rPr>
          <w:rFonts w:ascii="Calibri" w:cs="Calibri" w:eastAsia="Calibri" w:hAnsi="Calibri"/>
          <w:b w:val="false"/>
          <w:bCs w:val="false"/>
          <w:i w:val="false"/>
          <w:iCs w:val="false"/>
          <w:color w:val="1E293B"/>
          <w:sz w:val="22"/>
          <w:szCs w:val="22"/>
        </w:rPr>
        <w:t xml:space="preserve">Conduct a formal QBR with the client's executive team every quarter:</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QBR Agenda (90 minutes):</w:t>
      </w:r>
    </w:p>
    <w:p>
      <w:pPr>
        <w:pStyle w:val="ListParagraph"/>
        <w:numPr>
          <w:ilvl w:val="0"/>
          <w:numId w:val="1"/>
        </w:numPr>
        <w:spacing w:after="60"/>
      </w:pPr>
      <w:r>
        <w:rPr>
          <w:rFonts w:ascii="Calibri" w:cs="Calibri" w:eastAsia="Calibri" w:hAnsi="Calibri"/>
          <w:color w:val="1E293B"/>
          <w:sz w:val="22"/>
          <w:szCs w:val="22"/>
        </w:rPr>
        <w:t xml:space="preserve">Quarter in review — key accomplishments and metrics trends (15 min)</w:t>
      </w:r>
    </w:p>
    <w:p>
      <w:pPr>
        <w:pStyle w:val="ListParagraph"/>
        <w:numPr>
          <w:ilvl w:val="0"/>
          <w:numId w:val="1"/>
        </w:numPr>
        <w:spacing w:after="60"/>
      </w:pPr>
      <w:r>
        <w:rPr>
          <w:rFonts w:ascii="Calibri" w:cs="Calibri" w:eastAsia="Calibri" w:hAnsi="Calibri"/>
          <w:color w:val="1E293B"/>
          <w:sz w:val="22"/>
          <w:szCs w:val="22"/>
        </w:rPr>
        <w:t xml:space="preserve">Risk landscape update — new and evolving risks (15 min)</w:t>
      </w:r>
    </w:p>
    <w:p>
      <w:pPr>
        <w:pStyle w:val="ListParagraph"/>
        <w:numPr>
          <w:ilvl w:val="0"/>
          <w:numId w:val="1"/>
        </w:numPr>
        <w:spacing w:after="60"/>
      </w:pPr>
      <w:r>
        <w:rPr>
          <w:rFonts w:ascii="Calibri" w:cs="Calibri" w:eastAsia="Calibri" w:hAnsi="Calibri"/>
          <w:color w:val="1E293B"/>
          <w:sz w:val="22"/>
          <w:szCs w:val="22"/>
        </w:rPr>
        <w:t xml:space="preserve">Compliance status update — progress toward certification/audit dates (10 min)</w:t>
      </w:r>
    </w:p>
    <w:p>
      <w:pPr>
        <w:pStyle w:val="ListParagraph"/>
        <w:numPr>
          <w:ilvl w:val="0"/>
          <w:numId w:val="1"/>
        </w:numPr>
        <w:spacing w:after="60"/>
      </w:pPr>
      <w:r>
        <w:rPr>
          <w:rFonts w:ascii="Calibri" w:cs="Calibri" w:eastAsia="Calibri" w:hAnsi="Calibri"/>
          <w:color w:val="1E293B"/>
          <w:sz w:val="22"/>
          <w:szCs w:val="22"/>
        </w:rPr>
        <w:t xml:space="preserve">Roadmap review — what was completed, what was deferred, and why (15 min)</w:t>
      </w:r>
    </w:p>
    <w:p>
      <w:pPr>
        <w:pStyle w:val="ListParagraph"/>
        <w:numPr>
          <w:ilvl w:val="0"/>
          <w:numId w:val="1"/>
        </w:numPr>
        <w:spacing w:after="60"/>
      </w:pPr>
      <w:r>
        <w:rPr>
          <w:rFonts w:ascii="Calibri" w:cs="Calibri" w:eastAsia="Calibri" w:hAnsi="Calibri"/>
          <w:color w:val="1E293B"/>
          <w:sz w:val="22"/>
          <w:szCs w:val="22"/>
        </w:rPr>
        <w:t xml:space="preserve">Budget review — spend vs. plan, upcoming investment needs (10 min)</w:t>
      </w:r>
    </w:p>
    <w:p>
      <w:pPr>
        <w:pStyle w:val="ListParagraph"/>
        <w:numPr>
          <w:ilvl w:val="0"/>
          <w:numId w:val="1"/>
        </w:numPr>
        <w:spacing w:after="60"/>
      </w:pPr>
      <w:r>
        <w:rPr>
          <w:rFonts w:ascii="Calibri" w:cs="Calibri" w:eastAsia="Calibri" w:hAnsi="Calibri"/>
          <w:color w:val="1E293B"/>
          <w:sz w:val="22"/>
          <w:szCs w:val="22"/>
        </w:rPr>
        <w:t xml:space="preserve">Next quarter priorities and strategic recommendations (15 min)</w:t>
      </w:r>
    </w:p>
    <w:p>
      <w:pPr>
        <w:pStyle w:val="ListParagraph"/>
        <w:numPr>
          <w:ilvl w:val="0"/>
          <w:numId w:val="1"/>
        </w:numPr>
        <w:spacing w:after="60"/>
      </w:pPr>
      <w:r>
        <w:rPr>
          <w:rFonts w:ascii="Calibri" w:cs="Calibri" w:eastAsia="Calibri" w:hAnsi="Calibri"/>
          <w:color w:val="1E293B"/>
          <w:sz w:val="22"/>
          <w:szCs w:val="22"/>
        </w:rPr>
        <w:t xml:space="preserve">Executive feedback and alignment check (10 min)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QBR Preparation</w:t>
            </w:r>
          </w:p>
          <w:p>
            <w:pPr>
              <w:spacing w:after="120" w:before="0" w:line="276"/>
              <w:jc w:val="left"/>
            </w:pPr>
            <w:r>
              <w:rPr>
                <w:rFonts w:ascii="Calibri" w:cs="Calibri" w:eastAsia="Calibri" w:hAnsi="Calibri"/>
                <w:b w:val="false"/>
                <w:bCs w:val="false"/>
                <w:i w:val="false"/>
                <w:iCs w:val="false"/>
                <w:color w:val="1E293B"/>
                <w:sz w:val="21"/>
                <w:szCs w:val="21"/>
              </w:rPr>
              <w:t xml:space="preserve">Begin preparing the QBR deck 2 weeks in advance. Pull 3 months of metrics data, update the roadmap, and draft the executive narrative. Have a peer reviewer check the deck before presenting to the client.</w:t>
            </w:r>
          </w:p>
        </w:tc>
      </w:tr>
    </w:tbl>
    <w:p>
      <w:r>
        <w:br w:type="page"/>
      </w:r>
    </w:p>
    <w:p>
      <w:pPr>
        <w:pStyle w:val="Heading1"/>
        <w:spacing w:before="240" w:after="120"/>
      </w:pPr>
      <w:r>
        <w:rPr>
          <w:rFonts w:ascii="Calibri" w:cs="Calibri" w:eastAsia="Calibri" w:hAnsi="Calibri"/>
          <w:b/>
          <w:bCs/>
          <w:color w:val="0F172A"/>
          <w:sz w:val="32"/>
          <w:szCs w:val="32"/>
        </w:rPr>
        <w:t xml:space="preserve">Incident Response During V-CISO Engagement</w:t>
      </w:r>
    </w:p>
    <w:p>
      <w:pPr>
        <w:spacing w:after="120" w:before="0" w:line="276"/>
        <w:jc w:val="left"/>
      </w:pPr>
      <w:r>
        <w:rPr>
          <w:rFonts w:ascii="Calibri" w:cs="Calibri" w:eastAsia="Calibri" w:hAnsi="Calibri"/>
          <w:b w:val="false"/>
          <w:bCs w:val="false"/>
          <w:i w:val="false"/>
          <w:iCs w:val="false"/>
          <w:color w:val="1E293B"/>
          <w:sz w:val="22"/>
          <w:szCs w:val="22"/>
        </w:rPr>
        <w:t xml:space="preserve">When a client experiences a security incident, the V-CISO shifts from advisory to active response coordination:</w:t>
      </w:r>
    </w:p>
    <w:p>
      <w:pPr>
        <w:spacing w:before="120" w:after="0"/>
      </w:pPr>
    </w:p>
    <w:p>
      <w:pPr>
        <w:pStyle w:val="ListParagraph"/>
        <w:numPr>
          <w:ilvl w:val="0"/>
          <w:numId w:val="1"/>
        </w:numPr>
        <w:spacing w:after="60"/>
      </w:pPr>
      <w:r>
        <w:rPr>
          <w:rFonts w:ascii="Calibri" w:cs="Calibri" w:eastAsia="Calibri" w:hAnsi="Calibri"/>
          <w:b/>
          <w:bCs/>
          <w:color w:val="1E293B"/>
          <w:sz w:val="22"/>
          <w:szCs w:val="22"/>
        </w:rPr>
        <w:t xml:space="preserve">Severity 1 (Critical):</w:t>
      </w:r>
      <w:r>
        <w:rPr>
          <w:rFonts w:ascii="Calibri" w:cs="Calibri" w:eastAsia="Calibri" w:hAnsi="Calibri"/>
          <w:color w:val="1E293B"/>
          <w:sz w:val="22"/>
          <w:szCs w:val="22"/>
        </w:rPr>
        <w:t xml:space="preserve"> Active involvement, coordinate response, client contact within 1 hour</w:t>
      </w:r>
    </w:p>
    <w:p>
      <w:pPr>
        <w:pStyle w:val="ListParagraph"/>
        <w:numPr>
          <w:ilvl w:val="0"/>
          <w:numId w:val="1"/>
        </w:numPr>
        <w:spacing w:after="60"/>
      </w:pPr>
      <w:r>
        <w:rPr>
          <w:rFonts w:ascii="Calibri" w:cs="Calibri" w:eastAsia="Calibri" w:hAnsi="Calibri"/>
          <w:b/>
          <w:bCs/>
          <w:color w:val="1E293B"/>
          <w:sz w:val="22"/>
          <w:szCs w:val="22"/>
        </w:rPr>
        <w:t xml:space="preserve">Severity 2 (High):</w:t>
      </w:r>
      <w:r>
        <w:rPr>
          <w:rFonts w:ascii="Calibri" w:cs="Calibri" w:eastAsia="Calibri" w:hAnsi="Calibri"/>
          <w:color w:val="1E293B"/>
          <w:sz w:val="22"/>
          <w:szCs w:val="22"/>
        </w:rPr>
        <w:t xml:space="preserve"> Advisory role, guide client team, response within 4 hours</w:t>
      </w:r>
    </w:p>
    <w:p>
      <w:pPr>
        <w:pStyle w:val="ListParagraph"/>
        <w:numPr>
          <w:ilvl w:val="0"/>
          <w:numId w:val="1"/>
        </w:numPr>
        <w:spacing w:after="60"/>
      </w:pPr>
      <w:r>
        <w:rPr>
          <w:rFonts w:ascii="Calibri" w:cs="Calibri" w:eastAsia="Calibri" w:hAnsi="Calibri"/>
          <w:b/>
          <w:bCs/>
          <w:color w:val="1E293B"/>
          <w:sz w:val="22"/>
          <w:szCs w:val="22"/>
        </w:rPr>
        <w:t xml:space="preserve">Severity 3 (Medium):</w:t>
      </w:r>
      <w:r>
        <w:rPr>
          <w:rFonts w:ascii="Calibri" w:cs="Calibri" w:eastAsia="Calibri" w:hAnsi="Calibri"/>
          <w:color w:val="1E293B"/>
          <w:sz w:val="22"/>
          <w:szCs w:val="22"/>
        </w:rPr>
        <w:t xml:space="preserve"> Monitor and advise, response within 1 business day</w:t>
      </w:r>
    </w:p>
    <w:p>
      <w:pPr>
        <w:pStyle w:val="ListParagraph"/>
        <w:numPr>
          <w:ilvl w:val="0"/>
          <w:numId w:val="1"/>
        </w:numPr>
        <w:spacing w:after="60"/>
      </w:pPr>
      <w:r>
        <w:rPr>
          <w:rFonts w:ascii="Calibri" w:cs="Calibri" w:eastAsia="Calibri" w:hAnsi="Calibri"/>
          <w:b/>
          <w:bCs/>
          <w:color w:val="1E293B"/>
          <w:sz w:val="22"/>
          <w:szCs w:val="22"/>
        </w:rPr>
        <w:t xml:space="preserve">Severity 4 (Low):</w:t>
      </w:r>
      <w:r>
        <w:rPr>
          <w:rFonts w:ascii="Calibri" w:cs="Calibri" w:eastAsia="Calibri" w:hAnsi="Calibri"/>
          <w:color w:val="1E293B"/>
          <w:sz w:val="22"/>
          <w:szCs w:val="22"/>
        </w:rPr>
        <w:t xml:space="preserve"> Track and address in next scheduled session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DFARS Reporting</w:t>
            </w:r>
          </w:p>
          <w:p>
            <w:pPr>
              <w:spacing w:after="120" w:before="0" w:line="276"/>
              <w:jc w:val="left"/>
            </w:pPr>
            <w:r>
              <w:rPr>
                <w:rFonts w:ascii="Calibri" w:cs="Calibri" w:eastAsia="Calibri" w:hAnsi="Calibri"/>
                <w:b w:val="false"/>
                <w:bCs w:val="false"/>
                <w:i w:val="false"/>
                <w:iCs w:val="false"/>
                <w:color w:val="1E293B"/>
                <w:sz w:val="21"/>
                <w:szCs w:val="21"/>
              </w:rPr>
              <w:t xml:space="preserve">If the incident involves CUI, remind the client of their obligation to report to DCISE within 72 hours. Assist with the reporting process but ensure the client submits as the contractor of record. Document all advisory activities with timestamps.</w:t>
            </w:r>
          </w:p>
        </w:tc>
      </w:tr>
    </w:tbl>
    <w:p>
      <w:r>
        <w:br w:type="page"/>
      </w:r>
    </w:p>
    <w:p>
      <w:pPr>
        <w:pStyle w:val="Heading1"/>
        <w:spacing w:before="240" w:after="120"/>
      </w:pPr>
      <w:r>
        <w:rPr>
          <w:rFonts w:ascii="Calibri" w:cs="Calibri" w:eastAsia="Calibri" w:hAnsi="Calibri"/>
          <w:b/>
          <w:bCs/>
          <w:color w:val="0F172A"/>
          <w:sz w:val="32"/>
          <w:szCs w:val="32"/>
        </w:rPr>
        <w:t xml:space="preserve">Technology Stack Recommendations</w:t>
      </w:r>
    </w:p>
    <w:p>
      <w:pPr>
        <w:spacing w:after="120" w:before="0" w:line="276"/>
        <w:jc w:val="left"/>
      </w:pPr>
      <w:r>
        <w:rPr>
          <w:rFonts w:ascii="Calibri" w:cs="Calibri" w:eastAsia="Calibri" w:hAnsi="Calibri"/>
          <w:b w:val="false"/>
          <w:bCs w:val="false"/>
          <w:i w:val="false"/>
          <w:iCs w:val="false"/>
          <w:color w:val="1E293B"/>
          <w:sz w:val="22"/>
          <w:szCs w:val="22"/>
        </w:rPr>
        <w:t xml:space="preserve">Recommend the following technology categories to V-CISO clients based on maturity level:</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Category</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Foundational</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Intermediate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Advanced</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Endpoint Protection</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Microsoft Defender for Business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CrowdStrike Falcon Go</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SentinelOne / CrowdStrike Complete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Email Security</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Microsoft 365 built-in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Proofpoint Essentials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Abnormal Security</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SIEM / Logging</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Microsoft Sentinel (basic)</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Blumira / Arctic Wolf</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Splunk / Elastic SIEM</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Vulnerability Scanning</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Nessus Essentials (free)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Tenable.io</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Qualys VMDR</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Identity / MFA</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Microsoft Entra ID + MFA</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Duo Security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Okta / CyberArk</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Security Awareness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Free phishing tests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KnowBe4</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Proofpoint SAT</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Backup / DR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Veeam (basic)</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Datto / Acronis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Rubrik / Cohesity</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GRC Platform</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Spreadsheet tracking</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CISO Assistant (open source)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RegScale / Drata</w:t>
            </w:r>
          </w:p>
        </w:tc>
      </w:tr>
    </w:tbl>
    <w:p>
      <w:r>
        <w:br w:type="page"/>
      </w:r>
    </w:p>
    <w:p>
      <w:pPr>
        <w:pStyle w:val="Heading1"/>
        <w:spacing w:before="240" w:after="120"/>
      </w:pPr>
      <w:r>
        <w:rPr>
          <w:rFonts w:ascii="Calibri" w:cs="Calibri" w:eastAsia="Calibri" w:hAnsi="Calibri"/>
          <w:b/>
          <w:bCs/>
          <w:color w:val="0F172A"/>
          <w:sz w:val="32"/>
          <w:szCs w:val="32"/>
        </w:rPr>
        <w:t xml:space="preserve">Engagement Management</w:t>
      </w:r>
    </w:p>
    <w:p>
      <w:pPr>
        <w:pStyle w:val="Heading2"/>
        <w:spacing w:before="240" w:after="120"/>
      </w:pPr>
      <w:r>
        <w:rPr>
          <w:rFonts w:ascii="Calibri" w:cs="Calibri" w:eastAsia="Calibri" w:hAnsi="Calibri"/>
          <w:b/>
          <w:bCs/>
          <w:color w:val="1E3A8A"/>
          <w:sz w:val="26"/>
          <w:szCs w:val="26"/>
        </w:rPr>
        <w:t xml:space="preserve">Escalation Procedures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Escalation Level</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Trigger</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Who to Contact</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Response Time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Level 1</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Routine questions or schedule changes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V-CISO assigned to account</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1 business day</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Level 2</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Service delivery concerns or scope disagreements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Engagement Manager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4 business hours</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Level 3</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Active security incident (Sev 1–2)</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V-CISO + Managing Director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1 hour</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Level 4</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Contract or relationship issues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Managing Director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2 business hours</w:t>
            </w:r>
          </w:p>
        </w:tc>
      </w:tr>
    </w:tbl>
    <w:p>
      <w:pPr>
        <w:spacing w:before="120" w:after="0"/>
      </w:pPr>
    </w:p>
    <w:p>
      <w:pPr>
        <w:pStyle w:val="Heading2"/>
        <w:spacing w:before="240" w:after="120"/>
      </w:pPr>
      <w:r>
        <w:rPr>
          <w:rFonts w:ascii="Calibri" w:cs="Calibri" w:eastAsia="Calibri" w:hAnsi="Calibri"/>
          <w:b/>
          <w:bCs/>
          <w:color w:val="1E3A8A"/>
          <w:sz w:val="26"/>
          <w:szCs w:val="26"/>
        </w:rPr>
        <w:t xml:space="preserve">Retainer Hour Tracking</w:t>
      </w:r>
    </w:p>
    <w:p>
      <w:pPr>
        <w:spacing w:after="120" w:before="0" w:line="276"/>
        <w:jc w:val="left"/>
      </w:pPr>
      <w:r>
        <w:rPr>
          <w:rFonts w:ascii="Calibri" w:cs="Calibri" w:eastAsia="Calibri" w:hAnsi="Calibri"/>
          <w:b w:val="false"/>
          <w:bCs w:val="false"/>
          <w:i w:val="false"/>
          <w:iCs w:val="false"/>
          <w:color w:val="1E293B"/>
          <w:sz w:val="22"/>
          <w:szCs w:val="22"/>
        </w:rPr>
        <w:t xml:space="preserve">Track all time against the monthly retainer:</w:t>
      </w:r>
    </w:p>
    <w:p>
      <w:pPr>
        <w:pStyle w:val="ListParagraph"/>
        <w:numPr>
          <w:ilvl w:val="0"/>
          <w:numId w:val="1"/>
        </w:numPr>
        <w:spacing w:after="60"/>
      </w:pPr>
      <w:r>
        <w:rPr>
          <w:rFonts w:ascii="Calibri" w:cs="Calibri" w:eastAsia="Calibri" w:hAnsi="Calibri"/>
          <w:color w:val="1E293B"/>
          <w:sz w:val="22"/>
          <w:szCs w:val="22"/>
        </w:rPr>
        <w:t xml:space="preserve">Log hours daily with activity descriptions</w:t>
      </w:r>
    </w:p>
    <w:p>
      <w:pPr>
        <w:pStyle w:val="ListParagraph"/>
        <w:numPr>
          <w:ilvl w:val="0"/>
          <w:numId w:val="1"/>
        </w:numPr>
        <w:spacing w:after="60"/>
      </w:pPr>
      <w:r>
        <w:rPr>
          <w:rFonts w:ascii="Calibri" w:cs="Calibri" w:eastAsia="Calibri" w:hAnsi="Calibri"/>
          <w:color w:val="1E293B"/>
          <w:sz w:val="22"/>
          <w:szCs w:val="22"/>
        </w:rPr>
        <w:t xml:space="preserve">Send utilization summary with the monthly report</w:t>
      </w:r>
    </w:p>
    <w:p>
      <w:pPr>
        <w:pStyle w:val="ListParagraph"/>
        <w:numPr>
          <w:ilvl w:val="0"/>
          <w:numId w:val="1"/>
        </w:numPr>
        <w:spacing w:after="60"/>
      </w:pPr>
      <w:r>
        <w:rPr>
          <w:rFonts w:ascii="Calibri" w:cs="Calibri" w:eastAsia="Calibri" w:hAnsi="Calibri"/>
          <w:color w:val="1E293B"/>
          <w:sz w:val="22"/>
          <w:szCs w:val="22"/>
        </w:rPr>
        <w:t xml:space="preserve">Flag at 75% utilization to discuss priority adjustments</w:t>
      </w:r>
    </w:p>
    <w:p>
      <w:pPr>
        <w:pStyle w:val="ListParagraph"/>
        <w:numPr>
          <w:ilvl w:val="0"/>
          <w:numId w:val="1"/>
        </w:numPr>
        <w:spacing w:after="60"/>
      </w:pPr>
      <w:r>
        <w:rPr>
          <w:rFonts w:ascii="Calibri" w:cs="Calibri" w:eastAsia="Calibri" w:hAnsi="Calibri"/>
          <w:color w:val="1E293B"/>
          <w:sz w:val="22"/>
          <w:szCs w:val="22"/>
        </w:rPr>
        <w:t xml:space="preserve">Rollover policy: unused hours do NOT roll over unless negotiated in contract</w:t>
      </w:r>
    </w:p>
    <w:p>
      <w:pPr>
        <w:pStyle w:val="ListParagraph"/>
        <w:numPr>
          <w:ilvl w:val="0"/>
          <w:numId w:val="1"/>
        </w:numPr>
        <w:spacing w:after="60"/>
      </w:pPr>
      <w:r>
        <w:rPr>
          <w:rFonts w:ascii="Calibri" w:cs="Calibri" w:eastAsia="Calibri" w:hAnsi="Calibri"/>
          <w:color w:val="1E293B"/>
          <w:sz w:val="22"/>
          <w:szCs w:val="22"/>
        </w:rPr>
        <w:t xml:space="preserve">Overage policy: notify client before exceeding retainer, bill at contracted T&amp;M rate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INTERNAL USE ONLY</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V-CISO Operations Playbook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V-CISO Operations Playbook</dc:title>
  <dc:creator>Dominus Gray, LLC</dc:creator>
  <cp:lastModifiedBy>Un-named</cp:lastModifiedBy>
  <cp:revision>1</cp:revision>
  <dcterms:created xsi:type="dcterms:W3CDTF">2026-02-12T05:43:15.949Z</dcterms:created>
  <dcterms:modified xsi:type="dcterms:W3CDTF">2026-02-12T05:43:15.949Z</dcterms:modified>
</cp:coreProperties>
</file>

<file path=docProps/custom.xml><?xml version="1.0" encoding="utf-8"?>
<Properties xmlns="http://schemas.openxmlformats.org/officeDocument/2006/custom-properties" xmlns:vt="http://schemas.openxmlformats.org/officeDocument/2006/docPropsVTypes"/>
</file>