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0"/>
      </w:pPr>
    </w:p>
    <w:p>
      <w:pPr>
        <w:pBdr>
          <w:bottom w:val="single" w:color="B8860B" w:sz="8"/>
        </w:pBdr>
        <w:spacing w:after="0"/>
      </w:pPr>
    </w:p>
    <w:p>
      <w:pPr>
        <w:spacing w:before="120" w:after="0"/>
      </w:pPr>
    </w:p>
    <w:p>
      <w:pPr>
        <w:spacing w:after="120"/>
        <w:jc w:val="left"/>
      </w:pPr>
      <w:r>
        <w:rPr>
          <w:rFonts w:ascii="Calibri" w:cs="Calibri" w:eastAsia="Calibri" w:hAnsi="Calibri"/>
          <w:b/>
          <w:bCs/>
          <w:caps/>
          <w:color w:val="3B82F6"/>
          <w:sz w:val="20"/>
          <w:szCs w:val="20"/>
        </w:rPr>
        <w:t xml:space="preserve">DOMINUS GRAY, LLC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F172A"/>
          <w:sz w:val="48"/>
          <w:szCs w:val="48"/>
        </w:rPr>
        <w:t xml:space="preserve">Third-Party Risk
Management Assessment</w:t>
      </w:r>
    </w:p>
    <w:p>
      <w:pPr>
        <w:spacing w:after="200"/>
      </w:pPr>
      <w:r>
        <w:rPr>
          <w:rFonts w:ascii="Calibri" w:cs="Calibri" w:eastAsia="Calibri" w:hAnsi="Calibri"/>
          <w:i/>
          <w:iCs/>
          <w:color w:val="475569"/>
          <w:sz w:val="26"/>
          <w:szCs w:val="26"/>
        </w:rPr>
        <w:t xml:space="preserve">Vendor Security Evaluation — SCF-Based Framework</w:t>
      </w:r>
    </w:p>
    <w:p>
      <w:pPr>
        <w:pBdr>
          <w:bottom w:val="single" w:color="E2E8F0" w:sz="4"/>
        </w:pBdr>
        <w:spacing w:after="0"/>
      </w:pPr>
    </w:p>
    <w:p>
      <w:pPr>
        <w:spacing w:before="24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For: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[VENDOR NAME]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Prepared By: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Dominus Gray, LLC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Date: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[DATE]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Version: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1.0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Classification: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CUI // SP-TPRM</w:t>
      </w:r>
    </w:p>
    <w:p>
      <w:pPr>
        <w:spacing w:before="480" w:after="0"/>
      </w:pPr>
    </w:p>
    <w:p>
      <w:pPr>
        <w:jc w:val="left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— CONFIDENTIAL —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Document Control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Author</w:t>
            </w:r>
          </w:p>
        </w:tc>
        <w:tc>
          <w:tcPr>
            <w:tcW w:type="pct" w:w="4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1.0</w:t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[ASSESSOR]</w:t>
            </w:r>
          </w:p>
        </w:tc>
        <w:tc>
          <w:tcPr>
            <w:tcW w:type="pct" w:w="4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Initial vendor assessment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4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1. Vendor Profile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Complete this section with information from the vendor. Request supporting documentation (policies, certifications, audit reports) for all claims.</w:t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pct" w:w="7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 Name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[VENDOR NAME]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 Address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[ADDRESS]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Primary Contact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 / TITLE / EMAIL / PHONE]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Contact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 / TITLE / EMAIL / PHONE]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Services Provided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[DESCRIPTION]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 Number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[CONTRACT #]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CUI Access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[Yes / No — describe types of CUI accessed]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Data Location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[On-premises / Cloud — specify region]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Subcontractors</w:t>
            </w:r>
          </w:p>
        </w:tc>
        <w:tc>
          <w:tcPr>
            <w:tcW w:type="pct" w:w="7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[Yes / No — list any subcontractors with CUI access]</w:t>
            </w:r>
          </w:p>
        </w:tc>
      </w:tr>
      <w:tr>
        <w:trPr>
          <w:trHeight w:val="340" w:hRule="atLeast"/>
        </w:trPr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Previous Assessment Date</w:t>
            </w:r>
          </w:p>
        </w:tc>
        <w:tc>
          <w:tcPr>
            <w:tcW w:type="pct" w:w="7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 or N/A]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2. Risk Tier Classification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Classify the vendor based on data sensitivity and access level: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Criteria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Assessment Frequency</w:t>
            </w:r>
          </w:p>
        </w:tc>
        <w:tc>
          <w:tcPr>
            <w:tcW w:type="pct" w:w="2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Review Depth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Direct CUI access, system integration, cloud services hosting CUI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Annually + continuous monitoring</w:t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 assessment + on-site audit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Indirect CUI access, significant data processing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Annually</w:t>
            </w:r>
          </w:p>
        </w:tc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 questionnaire + evidence review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Limited data access, support services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Bi-annually</w:t>
            </w:r>
          </w:p>
        </w:tc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Abbreviated questionnaire</w:t>
            </w:r>
          </w:p>
        </w:tc>
      </w:tr>
      <w:tr>
        <w:trPr>
          <w:trHeight w:val="340" w:hRule="atLeast"/>
        </w:trPr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Low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No data access, physical services only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Every 3 years</w:t>
            </w:r>
          </w:p>
        </w:tc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Self-attestation</w:t>
            </w:r>
          </w:p>
        </w:tc>
      </w:tr>
    </w:tbl>
    <w:p>
      <w:pPr>
        <w:spacing w:before="120" w:after="0"/>
      </w:pP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Vendor Risk Tier: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[Critical / High / Medium / Low]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Justification: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[Explain the tier classification rationale]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3. Security Assessment Questionnaire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Rate each item: Compliant (C), Partially Compliant (PC), Non-Compliant (NC), or Not Applicable (N/A). Request evidence for all Compliant ratings. Document specific gaps for PC and NC ratings.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3.1 Governance &amp; Risk Management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4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 / Evidence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1.1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have a documented information security policy?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1.2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an executive-level security officer (CISO or equivalent)?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1.3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conduct annual risk assessments?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1.4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maintain cyber liability insurance?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1.5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documented risk acceptance process?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1.6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have a security awareness training program?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1.7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third-party security assessments conducted periodically?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Category Summary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 / 7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Partially 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Non-Compliant: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Category Risk Level: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[Low / Medium / High / Critical]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Key Findings: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[Summarize notable findings for this category]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3.2 Access Control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4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 / Evidence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2.1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multi-factor authentication enforced for all remote access?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2.2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privileged accounts managed with a PAM solution?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2.3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access reviews conducted at least quarterly?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2.4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 principle of least privilege enforced?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2.5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default/shared accounts disabled or controlled?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2.6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formal user provisioning/deprovisioning process?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Category Summary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 / 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Partially 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Non-Compliant: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Category Risk Level: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[Low / Medium / High / Critical]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Key Findings: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[Summarize notable findings for this category]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3.3 Data Protection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4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 / Evidence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3.1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data encrypted at rest using FIPS 140-2 validated cryptography?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3.2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data encrypted in transit using TLS 1.2 or higher?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3.3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data classification policy?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3.4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data retention and disposal procedures documented?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3.5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CUI/FCI identified and marked per 32 CFR Part 2002?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3.6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data loss prevention (DLP) solution in place?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3.7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backups encrypted and tested for recoverability?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Category Summary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 / 7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Partially 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Non-Compliant: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Category Risk Level: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[Low / Medium / High / Critical]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Key Findings: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[Summarize notable findings for this category]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3.4 Network Security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4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 / Evidence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4.1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 network segmented to isolate sensitive data?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4.2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firewalls and IDS/IPS deployed at network boundaries?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4.3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a VPN or zero-trust architecture used for remote access?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4.4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wireless networks secured and segregated from CUI systems?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4.5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outbound traffic filtered and monitored?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4.6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network diagrams current and reviewed quarterly?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Category Summary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 / 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Partially 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Non-Compliant: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Category Risk Level: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[Low / Medium / High / Critical]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Key Findings: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[Summarize notable findings for this category]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3.5 Vulnerability &amp; Patch Management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4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 / Evidence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5.1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vulnerability scans conducted at least monthly?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5.2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critical patches applied within 30 days of release?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5.3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formal patch management process?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5.4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third-party/open-source components tracked (SBOM)?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5.5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penetration testing conducted at least annually?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Category Summary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 / 5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Partially 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Non-Compliant: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Category Risk Level: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[Low / Medium / High / Critical]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Key Findings: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[Summarize notable findings for this category]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3.6 Incident Response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4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 / Evidence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6.1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documented incident response plan?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6.2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notify customers of security incidents?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6.3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What is the contractual breach notification timeline?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6.4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incident response procedures tested annually?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6.5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72-hour reporting capability for DFARS 252.204-7012?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Category Summary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 / 5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Partially 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Non-Compliant: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Category Risk Level: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[Low / Medium / High / Critical]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Key Findings: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[Summarize notable findings for this category]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3.7 Business Continuity &amp; Disaster Recovery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4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 / Evidence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7.1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documented business continuity plan?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7.2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there a documented disaster recovery plan?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7.3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Are BC/DR plans tested at least annually?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7.4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What is the Recovery Time Objective (RTO)?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7.5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What is the Recovery Point Objective (RPO)?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Category Summary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 / 5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Partially 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Non-Compliant: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Category Risk Level: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[Low / Medium / High / Critical]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Key Findings: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[Summarize notable findings for this category]</w:t>
      </w:r>
    </w:p>
    <w:p>
      <w:r>
        <w:br w:type="page"/>
      </w: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3.8 Compliance &amp; Certifications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4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Question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Notes / Evidence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8.1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hold SOC 2 Type II certification?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8.2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hold ISO 27001 certification?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8.3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Is the vendor FedRAMP authorized (Moderate baseline)?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8.4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What is the vendor's current SPRS score (if applicable)?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8.5</w:t>
            </w:r>
          </w:p>
        </w:tc>
        <w:tc>
          <w:tcPr>
            <w:tcW w:type="pct" w:w="4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comply with DFARS 252.204-7012?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  <w:tr>
        <w:trPr>
          <w:trHeight w:val="340" w:hRule="atLeast"/>
        </w:trPr>
        <w:tc>
          <w:tcPr>
            <w:tcW w:type="pct" w:w="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8.6</w:t>
            </w:r>
          </w:p>
        </w:tc>
        <w:tc>
          <w:tcPr>
            <w:tcW w:type="pct" w:w="4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Does the vendor maintain a CMMC certification (if applicable)?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[C/PC/NC/N/A]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[Evidence reference or gap description]</w:t>
            </w:r>
          </w:p>
        </w:tc>
      </w:tr>
    </w:tbl>
    <w:p>
      <w:pPr>
        <w:spacing w:before="120" w:after="0"/>
      </w:pPr>
    </w:p>
    <w:p>
      <w:pPr>
        <w:pStyle w:val="Heading3"/>
        <w:spacing w:before="240" w:after="120"/>
      </w:pPr>
      <w:r>
        <w:rPr>
          <w:rFonts w:ascii="Calibri" w:cs="Calibri" w:eastAsia="Calibri" w:hAnsi="Calibri"/>
          <w:b/>
          <w:bCs/>
          <w:color w:val="3B82F6"/>
          <w:sz w:val="22"/>
          <w:szCs w:val="22"/>
        </w:rPr>
        <w:t xml:space="preserve">Category Summary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 / 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Partially 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Non-Compliant: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[#]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Category Risk Level: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[Low / Medium / High / Critical]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Key Findings: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[Summarize notable findings for this category]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4. Risk Assessment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D97706" w:sz="1"/>
              <w:left w:val="single" w:color="D97706" w:sz="6"/>
              <w:bottom w:val="single" w:color="D97706" w:sz="1"/>
              <w:right w:val="single" w:color="D97706" w:sz="1"/>
            </w:tcBorders>
            <w:shd w:color="FFF3CD" w:val="solid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D97706"/>
                <w:sz w:val="18"/>
                <w:szCs w:val="18"/>
              </w:rPr>
              <w:t xml:space="preserve">📝 CONSULTANT INSTRUCTIONS (Delete this box before delivery)</w:t>
            </w:r>
          </w:p>
          <w:p>
            <w:r>
              <w:rPr>
                <w:rFonts w:ascii="Calibri" w:cs="Calibri" w:eastAsia="Calibri" w:hAnsi="Calibri"/>
                <w:i/>
                <w:iCs/>
                <w:color w:val="92400E"/>
                <w:sz w:val="18"/>
                <w:szCs w:val="18"/>
              </w:rPr>
              <w:t xml:space="preserve">Complete after all questionnaire sections are evaluated.</w:t>
            </w:r>
          </w:p>
        </w:tc>
      </w:tr>
    </w:tbl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pct" w:w="13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Compliant</w:t>
            </w:r>
          </w:p>
        </w:tc>
        <w:tc>
          <w:tcPr>
            <w:tcW w:type="pct" w:w="11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Partial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Non-Compliant</w:t>
            </w:r>
          </w:p>
        </w:tc>
        <w:tc>
          <w:tcPr>
            <w:tcW w:type="pct" w:w="11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Score</w:t>
            </w:r>
          </w:p>
        </w:tc>
        <w:tc>
          <w:tcPr>
            <w:tcW w:type="pct" w:w="1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Risk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Governance &amp; Risk Management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Access Control</w:t>
            </w:r>
          </w:p>
        </w:tc>
        <w:tc>
          <w:tcPr>
            <w:tcW w:type="pct" w:w="1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Data Protection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Network Security</w:t>
            </w:r>
          </w:p>
        </w:tc>
        <w:tc>
          <w:tcPr>
            <w:tcW w:type="pct" w:w="1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Vulnerability &amp; Patch Management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Response</w:t>
            </w:r>
          </w:p>
        </w:tc>
        <w:tc>
          <w:tcPr>
            <w:tcW w:type="pct" w:w="1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Business Continuity &amp; Disaster Recovery</w:t>
            </w:r>
          </w:p>
        </w:tc>
        <w:tc>
          <w:tcPr>
            <w:tcW w:type="pct" w:w="13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</w:tr>
      <w:tr>
        <w:trPr>
          <w:trHeight w:val="340" w:hRule="atLeast"/>
        </w:trPr>
        <w:tc>
          <w:tcPr>
            <w:tcW w:type="pct" w:w="2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Compliance &amp; Certifications</w:t>
            </w:r>
          </w:p>
        </w:tc>
        <w:tc>
          <w:tcPr>
            <w:tcW w:type="pct" w:w="13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[#]</w:t>
            </w:r>
          </w:p>
        </w:tc>
        <w:tc>
          <w:tcPr>
            <w:tcW w:type="pct" w:w="11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[%]</w:t>
            </w:r>
          </w:p>
        </w:tc>
        <w:tc>
          <w:tcPr>
            <w:tcW w:type="pct" w:w="1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[H/M/L]</w:t>
            </w:r>
          </w:p>
        </w:tc>
      </w:tr>
    </w:tbl>
    <w:p>
      <w:pPr>
        <w:spacing w:before="120" w:after="0"/>
      </w:pPr>
    </w:p>
    <w:p>
      <w:pPr>
        <w:pStyle w:val="Heading2"/>
        <w:spacing w:before="240" w:after="120"/>
      </w:pPr>
      <w:r>
        <w:rPr>
          <w:rFonts w:ascii="Calibri" w:cs="Calibri" w:eastAsia="Calibri" w:hAnsi="Calibri"/>
          <w:b/>
          <w:bCs/>
          <w:color w:val="1E3A8A"/>
          <w:sz w:val="26"/>
          <w:szCs w:val="26"/>
        </w:rPr>
        <w:t xml:space="preserve">4.1 Overall Risk Rating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Overall Compliance Score: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[PERCENTAGE]%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Overall Risk Rating: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[Critical / High / Medium / Low / Acceptable]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0F172A"/>
          <w:sz w:val="22"/>
          <w:szCs w:val="22"/>
        </w:rPr>
        <w:t xml:space="preserve">Recommendation: </w:t>
      </w:r>
      <w:r>
        <w:rPr>
          <w:rFonts w:ascii="Calibri" w:cs="Calibri" w:eastAsia="Calibri" w:hAnsi="Calibri"/>
          <w:color w:val="1E293B"/>
          <w:sz w:val="22"/>
          <w:szCs w:val="22"/>
        </w:rPr>
        <w:t xml:space="preserve">[Approve / Approve with Conditions / Reject / Requires Remediation]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Score Range</w:t>
            </w:r>
          </w:p>
        </w:tc>
        <w:tc>
          <w:tcPr>
            <w:tcW w:type="pct" w:w="3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Rating</w:t>
            </w:r>
          </w:p>
        </w:tc>
        <w:tc>
          <w:tcPr>
            <w:tcW w:type="pct" w:w="52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Action Required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90-100%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Low Risk — Acceptable</w:t>
            </w:r>
          </w:p>
        </w:tc>
        <w:tc>
          <w:tcPr>
            <w:tcW w:type="pct" w:w="5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Approve; standard monitoring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75-89%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Medium Risk — Conditional</w:t>
            </w:r>
          </w:p>
        </w:tc>
        <w:tc>
          <w:tcPr>
            <w:tcW w:type="pct" w:w="5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Approve with remediation plan; enhanced monitoring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60-74%</w:t>
            </w:r>
          </w:p>
        </w:tc>
        <w:tc>
          <w:tcPr>
            <w:tcW w:type="pct" w:w="3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High Risk — Elevated</w:t>
            </w:r>
          </w:p>
        </w:tc>
        <w:tc>
          <w:tcPr>
            <w:tcW w:type="pct" w:w="52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Approve only if critical; detailed remediation required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Below 60%</w:t>
            </w:r>
          </w:p>
        </w:tc>
        <w:tc>
          <w:tcPr>
            <w:tcW w:type="pct" w:w="3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Critical Risk — Unacceptable</w:t>
            </w:r>
          </w:p>
        </w:tc>
        <w:tc>
          <w:tcPr>
            <w:tcW w:type="pct" w:w="52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Reject or suspend until remediation complete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5. Remediation Requirements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The following remediation items must be addressed by the vendor:</w:t>
      </w:r>
    </w:p>
    <w:p>
      <w:pPr>
        <w:spacing w:before="120" w:after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Finding</w:t>
            </w:r>
          </w:p>
        </w:tc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Remediation Required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  <w:tc>
          <w:tcPr>
            <w:tcW w:type="pct" w:w="1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rPr>
          <w:trHeight w:val="340" w:hRule="atLeast"/>
        </w:trPr>
        <w:tc>
          <w:tcPr>
            <w:tcW w:type="pct" w:w="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1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[FINDING]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[C/H/M/L]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[ACTION]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[Open]</w:t>
            </w:r>
          </w:p>
        </w:tc>
      </w:tr>
      <w:tr>
        <w:trPr>
          <w:trHeight w:val="340" w:hRule="atLeast"/>
        </w:trPr>
        <w:tc>
          <w:tcPr>
            <w:tcW w:type="pct" w:w="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2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[FINDING]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[C/H/M/L]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[ACTION]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1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[Open]</w:t>
            </w:r>
          </w:p>
        </w:tc>
      </w:tr>
      <w:tr>
        <w:trPr>
          <w:trHeight w:val="340" w:hRule="atLeast"/>
        </w:trPr>
        <w:tc>
          <w:tcPr>
            <w:tcW w:type="pct" w:w="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3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[FINDING]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[C/H/M/L]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[ACTION]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  <w:tc>
          <w:tcPr>
            <w:tcW w:type="pct" w:w="1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[Open]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6. Contractual Security Requirements</w:t>
      </w:r>
    </w:p>
    <w:p>
      <w:pPr>
        <w:spacing w:after="120" w:before="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2"/>
          <w:szCs w:val="22"/>
        </w:rPr>
        <w:t xml:space="preserve">The following security requirements should be included in the vendor contract:</w:t>
      </w:r>
    </w:p>
    <w:p>
      <w:pPr>
        <w:spacing w:before="120" w:after="0"/>
      </w:pP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Data encryption requirements (at rest and in transit)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Incident notification timeline (recommend 24-72 hours)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Right to audit clause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Data destruction upon contract termination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Subcontractor flow-down requirements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Compliance with DFARS 252.204-7012 (if CUI involved)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CMMC Level 2 certification requirement (if applicable)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Cyber liability insurance minimum coverage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Background check requirements for personnel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1E293B"/>
          <w:sz w:val="22"/>
          <w:szCs w:val="22"/>
        </w:rPr>
        <w:t xml:space="preserve">SLA for security incident response</w:t>
      </w:r>
    </w:p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7. Monitoring 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Activity</w:t>
            </w:r>
          </w:p>
        </w:tc>
        <w:tc>
          <w:tcPr>
            <w:tcW w:type="pct" w:w="1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Frequency</w:t>
            </w:r>
          </w:p>
        </w:tc>
        <w:tc>
          <w:tcPr>
            <w:tcW w:type="pct" w:w="2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Responsibility</w:t>
            </w:r>
          </w:p>
        </w:tc>
        <w:tc>
          <w:tcPr>
            <w:tcW w:type="pct" w:w="35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Compliance verification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Quarterly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[ROLE]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Attestation review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 reassessment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Annually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[ROLE]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Full questionnaire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Continuous monitoring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Ongoing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[ROLE]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Security ratings service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review</w:t>
            </w:r>
          </w:p>
        </w:tc>
        <w:tc>
          <w:tcPr>
            <w:tcW w:type="pct" w:w="1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As needed</w:t>
            </w:r>
          </w:p>
        </w:tc>
        <w:tc>
          <w:tcPr>
            <w:tcW w:type="pct" w:w="2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[ROLE]</w:t>
            </w:r>
          </w:p>
        </w:tc>
        <w:tc>
          <w:tcPr>
            <w:tcW w:type="pct" w:w="35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Incident debrief</w:t>
            </w:r>
          </w:p>
        </w:tc>
      </w:tr>
      <w:tr>
        <w:trPr>
          <w:trHeight w:val="340" w:hRule="atLeast"/>
        </w:trPr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 review</w:t>
            </w:r>
          </w:p>
        </w:tc>
        <w:tc>
          <w:tcPr>
            <w:tcW w:type="pct" w:w="1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Annually</w:t>
            </w:r>
          </w:p>
        </w:tc>
        <w:tc>
          <w:tcPr>
            <w:tcW w:type="pct" w:w="2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[ROLE]</w:t>
            </w:r>
          </w:p>
        </w:tc>
        <w:tc>
          <w:tcPr>
            <w:tcW w:type="pct" w:w="35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Contract terms review</w:t>
            </w:r>
          </w:p>
        </w:tc>
      </w:tr>
    </w:tbl>
    <w:p>
      <w:r>
        <w:br w:type="page"/>
      </w:r>
    </w:p>
    <w:p>
      <w:pPr>
        <w:pStyle w:val="Heading1"/>
        <w:spacing w:before="240" w:after="120"/>
      </w:pPr>
      <w:r>
        <w:rPr>
          <w:rFonts w:ascii="Calibri" w:cs="Calibri" w:eastAsia="Calibri" w:hAnsi="Calibri"/>
          <w:b/>
          <w:bCs/>
          <w:color w:val="0F172A"/>
          <w:sz w:val="32"/>
          <w:szCs w:val="32"/>
        </w:rPr>
        <w:t xml:space="preserve">8. Approval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pct" w:w="20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Decision</w:t>
            </w:r>
          </w:p>
        </w:tc>
        <w:tc>
          <w:tcPr>
            <w:tcW w:type="pct" w:w="24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W w:type="pct" w:w="18%"/>
            <w:shd w:color="0C1425" w:val="solid"/>
            <w:vAlign w:val="center"/>
          </w:tcPr>
          <w:p>
            <w:pPr>
              <w:spacing w:before="40" w:after="4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Assessor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[RECOMMENDATION]</w:t>
            </w:r>
          </w:p>
        </w:tc>
        <w:tc>
          <w:tcPr>
            <w:tcW w:type="pct" w:w="2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CISO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20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[APPROVE/REJECT]</w:t>
            </w:r>
          </w:p>
        </w:tc>
        <w:tc>
          <w:tcPr>
            <w:tcW w:type="pct" w:w="24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EFF6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  <w:tr>
        <w:trPr>
          <w:trHeight w:val="340" w:hRule="atLeast"/>
        </w:trPr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Vendor Manager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[NAME]</w:t>
            </w:r>
          </w:p>
        </w:tc>
        <w:tc>
          <w:tcPr>
            <w:tcW w:type="pct" w:w="20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[ACKNOWLEDGE]</w:t>
            </w:r>
          </w:p>
        </w:tc>
        <w:tc>
          <w:tcPr>
            <w:tcW w:type="pct" w:w="24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/>
            </w:r>
          </w:p>
        </w:tc>
        <w:tc>
          <w:tcPr>
            <w:tcW w:type="pct" w:w="18%"/>
            <w:shd w:color="FFFFFF" w:val="solid"/>
            <w:vAlign w:val="center"/>
          </w:tcPr>
          <w:p>
            <w:pPr>
              <w:spacing w:before="30" w:after="30"/>
              <w:jc w:val="left"/>
            </w:pPr>
            <w:r>
              <w:rPr>
                <w:rFonts w:ascii="Calibri" w:cs="Calibri" w:eastAsia="Calibri" w:hAnsi="Calibri"/>
                <w:color w:val="1E293B"/>
                <w:sz w:val="20"/>
                <w:szCs w:val="20"/>
              </w:rPr>
              <w:t xml:space="preserve">[DATE]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  <w:jc w:val="center"/>
    </w:pPr>
    <w:r>
      <w:rPr>
        <w:rFonts w:ascii="Calibri" w:cs="Calibri" w:eastAsia="Calibri" w:hAnsi="Calibri"/>
        <w:color w:val="475569"/>
        <w:sz w:val="14"/>
        <w:szCs w:val="14"/>
      </w:rPr>
      <w:t xml:space="preserve">CUI // SP-TPRM</w:t>
    </w:r>
    <w:r>
      <w:rPr>
        <w:rFonts w:ascii="Calibri" w:cs="Calibri" w:eastAsia="Calibri" w:hAnsi="Calibri"/>
        <w:color w:val="475569"/>
        <w:sz w:val="14"/>
        <w:szCs w:val="14"/>
      </w:rPr>
      <w:t xml:space="preserve">  |  Page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475569"/>
        <w:sz w:val="14"/>
        <w:szCs w:val="14"/>
      </w:rPr>
      <w:t xml:space="preserve"> of </w:t>
    </w:r>
    <w:r>
      <w:rPr>
        <w:rFonts w:ascii="Calibri" w:cs="Calibri" w:eastAsia="Calibri" w:hAnsi="Calibri"/>
        <w:color w:val="475569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2"/>
      </w:pBdr>
      <w:jc w:val="right"/>
    </w:pPr>
    <w:r>
      <w:rPr>
        <w:rFonts w:ascii="Calibri" w:cs="Calibri" w:eastAsia="Calibri" w:hAnsi="Calibri"/>
        <w:color w:val="475569"/>
        <w:sz w:val="16"/>
        <w:szCs w:val="16"/>
      </w:rPr>
      <w:t xml:space="preserve">Third-Party Risk Management Assessment  |  </w:t>
    </w:r>
    <w:r>
      <w:rPr>
        <w:rFonts w:ascii="Calibri" w:cs="Calibri" w:eastAsia="Calibri" w:hAnsi="Calibri"/>
        <w:b/>
        <w:bCs/>
        <w:color w:val="3B82F6"/>
        <w:sz w:val="16"/>
        <w:szCs w:val="16"/>
      </w:rPr>
      <w:t xml:space="preserve">Dominus Gray, LLC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lowerLetter"/>
      <w:lvlText w:val="%2."/>
      <w:lvlJc w:val="start"/>
      <w:pPr>
        <w:ind w:left="144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20"/>
    </w:pPr>
    <w:rPr>
      <w:rFonts w:ascii="Calibri" w:cs="Calibri" w:eastAsia="Calibri" w:hAnsi="Calibri"/>
      <w:b/>
      <w:bCs/>
      <w:color w:val="0F172A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</w:pPr>
    <w:rPr>
      <w:rFonts w:ascii="Calibri" w:cs="Calibri" w:eastAsia="Calibri" w:hAnsi="Calibri"/>
      <w:b/>
      <w:bCs/>
      <w:color w:val="1E3A8A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</w:pPr>
    <w:rPr>
      <w:rFonts w:ascii="Calibri" w:cs="Calibri" w:eastAsia="Calibri" w:hAnsi="Calibri"/>
      <w:b/>
      <w:bCs/>
      <w:color w:val="3B82F6"/>
      <w:sz w:val="22"/>
      <w:szCs w:val="22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Third-Party Risk Management Assessment</dc:title>
  <dc:creator>Dominus Gray, LLC</dc:creator>
  <dc:description>Editable TPRM vendor assessment template with SCF-based questionnaire</dc:description>
  <cp:lastModifiedBy>Un-named</cp:lastModifiedBy>
  <cp:revision>1</cp:revision>
  <dcterms:created xsi:type="dcterms:W3CDTF">2026-02-10T04:05:43.248Z</dcterms:created>
  <dcterms:modified xsi:type="dcterms:W3CDTF">2026-02-10T04:05:43.248Z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