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Vendor Risk Assessment
Questionnaire</w:t>
      </w:r>
    </w:p>
    <w:p>
      <w:pPr>
        <w:spacing w:after="200"/>
      </w:pPr>
      <w:r>
        <w:rPr>
          <w:rFonts w:ascii="Calibri" w:cs="Calibri" w:eastAsia="Calibri" w:hAnsi="Calibri"/>
          <w:i/>
          <w:iCs/>
          <w:color w:val="475569"/>
          <w:sz w:val="26"/>
          <w:szCs w:val="26"/>
        </w:rPr>
        <w:t xml:space="preserve">Third-Party Security &amp; Compliance Assessment for CUI Subcontractors</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[CLIENT ORGANIZATION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CUI // SP-TPRM</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Instructions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This questionnaire is sent to vendors/subcontractors who handle CUI or connect to CUI systems. Customize the cover page with the prime contractor's name. The vendor completes the questionnaire and returns it with supporting evidence. Allow 15–20 business days for completion. Follow up at the midpoint. Score responses using the scoring guide in the TPRM Engagement Playbook.</w:t>
            </w:r>
          </w:p>
        </w:tc>
      </w:tr>
    </w:tbl>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This questionnaire assesses your organization's security posture and compliance with NIST SP 800-171 requirements for handling Controlled Unclassified Information (CUI). Your honest and thorough responses enable us to evaluate risk and ensure compliance with DFARS 252.204-7012 flow-down requirements.</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Accuracy &amp; Consequences</w:t>
            </w:r>
          </w:p>
          <w:p>
            <w:pPr>
              <w:spacing w:after="120" w:before="0" w:line="276"/>
              <w:jc w:val="left"/>
            </w:pPr>
            <w:r>
              <w:rPr>
                <w:rFonts w:ascii="Calibri" w:cs="Calibri" w:eastAsia="Calibri" w:hAnsi="Calibri"/>
                <w:b w:val="false"/>
                <w:bCs w:val="false"/>
                <w:i w:val="false"/>
                <w:iCs w:val="false"/>
                <w:color w:val="1E293B"/>
                <w:sz w:val="21"/>
                <w:szCs w:val="21"/>
              </w:rPr>
              <w:t xml:space="preserve">Inaccurate responses may result in contract action, loss of subcontract eligibility, or reporting to the contracting officer. If you are unsure about a response, indicate "Unknown" rather than guessing. Attach supporting evidence wherever requested.</w:t>
            </w:r>
          </w:p>
        </w:tc>
      </w:tr>
    </w:tbl>
    <w:p>
      <w:r>
        <w:br w:type="page"/>
      </w:r>
    </w:p>
    <w:p>
      <w:pPr>
        <w:pStyle w:val="Heading1"/>
        <w:spacing w:before="240" w:after="120"/>
      </w:pPr>
      <w:r>
        <w:rPr>
          <w:rFonts w:ascii="Calibri" w:cs="Calibri" w:eastAsia="Calibri" w:hAnsi="Calibri"/>
          <w:b/>
          <w:bCs/>
          <w:color w:val="0F172A"/>
          <w:sz w:val="32"/>
          <w:szCs w:val="32"/>
        </w:rPr>
        <w:t xml:space="preserve">Section 1: Vendor Organization Profile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Legal company name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CAGE code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UEI (Unique Entity Identifier)</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Primary NAICS code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Number of employees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Small business status / certifications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Physical locations handling CUI</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Primary contact for security inquiries (name, title, email, phone)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IT/Security point of contact (name, title, email, phone)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2: Contractual &amp; Compliance Status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have DFARS 252.204-7012 in your contract/subcontract?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Are you aware of CMMC 2.0 requirements?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What CMMC level are you pursuing or certified to?</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Have you completed a NIST 800-171 self-assessment?</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of most recent self-assessment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Current SPRS score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SPRS score was submitted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Has your SPRS score been verified by DIBCAC?</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have a current System Security Plan (SSP)?</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Date of last SSP update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have a current POA&amp;M?</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Number of open POA&amp;M items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Target completion date for all POA&amp;M items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Have you engaged a C3PAO for CMMC assessment?</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flow down DFARS 7012 to your subcontractors?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bl>
    <w:p>
      <w:r>
        <w:br w:type="page"/>
      </w:r>
    </w:p>
    <w:p>
      <w:pPr>
        <w:pStyle w:val="Heading1"/>
        <w:spacing w:before="240" w:after="120"/>
      </w:pPr>
      <w:r>
        <w:rPr>
          <w:rFonts w:ascii="Calibri" w:cs="Calibri" w:eastAsia="Calibri" w:hAnsi="Calibri"/>
          <w:b/>
          <w:bCs/>
          <w:color w:val="0F172A"/>
          <w:sz w:val="32"/>
          <w:szCs w:val="32"/>
        </w:rPr>
        <w:t xml:space="preserve">Section 3: CUI Handling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What types of CUI do you receive from our organization?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How do you receive CUI? (email, portal, file share, etc.)</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Where do you store CUI? (list systems/locations)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How do you process or use CUI in your work?</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transmit CUI to any other parties?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If yes, to whom and via what method?</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have documented CUI handling procedures?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Do you apply CUI markings to documents you create?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have a defined CUI system boundary?</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bl>
    <w:p>
      <w:r>
        <w:br w:type="page"/>
      </w:r>
    </w:p>
    <w:p>
      <w:pPr>
        <w:pStyle w:val="Heading1"/>
        <w:spacing w:before="240" w:after="120"/>
      </w:pPr>
      <w:r>
        <w:rPr>
          <w:rFonts w:ascii="Calibri" w:cs="Calibri" w:eastAsia="Calibri" w:hAnsi="Calibri"/>
          <w:b/>
          <w:bCs/>
          <w:color w:val="0F172A"/>
          <w:sz w:val="32"/>
          <w:szCs w:val="32"/>
        </w:rPr>
        <w:t xml:space="preserve">Section 4: Access Control</w:t>
      </w:r>
    </w:p>
    <w:p>
      <w:pPr>
        <w:spacing w:after="120" w:before="0" w:line="276"/>
        <w:jc w:val="left"/>
      </w:pPr>
      <w:r>
        <w:rPr>
          <w:rFonts w:ascii="Calibri" w:cs="Calibri" w:eastAsia="Calibri" w:hAnsi="Calibri"/>
          <w:b w:val="false"/>
          <w:bCs w:val="false"/>
          <w:i w:val="false"/>
          <w:iCs w:val="false"/>
          <w:color w:val="1E293B"/>
          <w:sz w:val="22"/>
          <w:szCs w:val="22"/>
        </w:rPr>
        <w:t xml:space="preserve">Rate your implementation status for each control area:</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Control Area</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Fully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Partially</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Not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Details / Evidence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Unique user accounts for all users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Role-based access control (RBAC)</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Multi-factor authentication (MFA) for remote access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MFA for privileged accounts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Least privilege enforcement</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Session lock after inactivity (≤15 minutes)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Account lockout after failed login attempts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Remote access via encrypted VPN</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Wireless access controlled and encrypted (WPA2/3)</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Mobile device management (MDM)</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USB/removable media controls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Access reviews conducted quarterly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5: Security Operations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Control Area</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Fully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Partially</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Not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Details / Evidence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Centralized log management / SIEM</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Audit log review procedures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Audit log retention (≥1 year)</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Vulnerability scanning (at least monthly)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Patch management within defined SLAs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Endpoint protection / EDR on all endpoints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Email security gateway / anti-phishing</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Intrusion detection/prevention (IDS/IPS)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Configuration management (baselines, STIGs/CIS)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Change management process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Application whitelisting</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6: Data Protection &amp; Encryption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Control Area</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Fully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Partially</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Not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Details / Evidence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Encryption at rest for CUI (AES-256)</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Full disk encryption on all CUI endpoints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Encryption in transit (TLS 1.2+)</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FIPS 140-2 validated cryptographic modules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Cryptographic key management procedures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Data loss prevention (DLP) controls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Backup encryption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Media sanitization procedures (NIST 800-88)</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7: Incident Response &amp; Business Continuity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Control Area</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Fully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Partially</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Not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Details / Evidence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Documented incident response plan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Designated incident response team</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IR plan tested within last 12 months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72-hour DCISE reporting capability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Procedure to notify prime contractor of incidents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Business continuity/disaster recovery plan</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Backup and recovery testing</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Cyber insurance coverage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8: Personnel &amp; Physical Security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Control Area</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Fully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Partially</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Not Implemented</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Details / Evidence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Background checks for all CUI-accessing personnel</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Security awareness training (annual)</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Insider threat awareness training</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Employee termination/offboarding procedures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Physical access controls to CUI areas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Visitor management procedures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Video surveillance of CUI areas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Clean desk policy enforced</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Remote work security policy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9: Third-Party &amp; Supply Chain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use subcontractors who access CUI?</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If yes, how many subcontractors access CUI?</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assess your subcontractors' security?</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Do you use managed IT/security service providers?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Provider names and services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Do you use cloud services for CUI? (list providers)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Are cloud services FedRAMP Moderate authorized?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Do you use GCC High or IL4+ environments?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bl>
    <w:p>
      <w:r>
        <w:br w:type="page"/>
      </w:r>
    </w:p>
    <w:p>
      <w:pPr>
        <w:pStyle w:val="Heading1"/>
        <w:spacing w:before="240" w:after="120"/>
      </w:pPr>
      <w:r>
        <w:rPr>
          <w:rFonts w:ascii="Calibri" w:cs="Calibri" w:eastAsia="Calibri" w:hAnsi="Calibri"/>
          <w:b/>
          <w:bCs/>
          <w:color w:val="0F172A"/>
          <w:sz w:val="32"/>
          <w:szCs w:val="32"/>
        </w:rPr>
        <w:t xml:space="preserve">Section 10: Certifications &amp; Assessments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Current security certifications (ISO 27001, SOC 2, etc.)</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Certification scope and validity dates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of last third-party security assessment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Name of assessment firm</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Key findings from last assessment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Have you had any security incidents in the past 24 months?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If yes, brief description and resolution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Are you willing to share your SSP (under NDA)?</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Are you willing to share your POA&amp;M (under NDA)?</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Yes  ☐ No</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Are you willing to share recent scan/assessment reports?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Yes  ☐ No</w:t>
            </w:r>
          </w:p>
        </w:tc>
      </w:tr>
    </w:tbl>
    <w:p>
      <w:r>
        <w:br w:type="page"/>
      </w:r>
    </w:p>
    <w:p>
      <w:pPr>
        <w:pStyle w:val="Heading1"/>
        <w:spacing w:before="240" w:after="120"/>
      </w:pPr>
      <w:r>
        <w:rPr>
          <w:rFonts w:ascii="Calibri" w:cs="Calibri" w:eastAsia="Calibri" w:hAnsi="Calibri"/>
          <w:b/>
          <w:bCs/>
          <w:color w:val="0F172A"/>
          <w:sz w:val="32"/>
          <w:szCs w:val="32"/>
        </w:rPr>
        <w:t xml:space="preserve">Scoring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This section is completed by the assessor, not the vendor. Score each section using the TPRM Engagement Playbook scoring methodology (1–5 scale per section).</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Section</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Score (1–5)</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Weight</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Weighted Score</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Contractual &amp; Compliance Status</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20%</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CUI Handling</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15%</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Access Control</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15%</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Security Operations</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15%</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Data Protection &amp; Encryption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15%</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Incident Response &amp; BC</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10%</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Personnel &amp; Physical Security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5%</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Third-Party &amp; Supply Chain</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5%</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Overall Weighted Score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100%</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bl>
    <w:p>
      <w:pPr>
        <w:spacing w:before="120" w:after="0"/>
      </w:pPr>
    </w:p>
    <w:p>
      <w:pPr>
        <w:pStyle w:val="Heading2"/>
        <w:spacing w:before="240" w:after="120"/>
      </w:pPr>
      <w:r>
        <w:rPr>
          <w:rFonts w:ascii="Calibri" w:cs="Calibri" w:eastAsia="Calibri" w:hAnsi="Calibri"/>
          <w:b/>
          <w:bCs/>
          <w:color w:val="1E3A8A"/>
          <w:sz w:val="26"/>
          <w:szCs w:val="26"/>
        </w:rPr>
        <w:t xml:space="preserve">Risk Rating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Score Range</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Risk Rating</w:t>
            </w:r>
          </w:p>
        </w:tc>
        <w:tc>
          <w:tcPr>
            <w:tcW w:type="pct" w:w="33%"/>
            <w:shd w:color="0C1425" w:val="solid"/>
            <w:vAlign w:val="center"/>
          </w:tcPr>
          <w:p>
            <w:pPr>
              <w:spacing w:before="40" w:after="40"/>
              <w:jc w:val="left"/>
            </w:pPr>
            <w:r>
              <w:rPr>
                <w:rFonts w:ascii="Calibri" w:cs="Calibri" w:eastAsia="Calibri" w:hAnsi="Calibri"/>
                <w:b/>
                <w:bCs/>
                <w:color w:val="FFFFFF"/>
                <w:sz w:val="20"/>
                <w:szCs w:val="20"/>
              </w:rPr>
              <w:t xml:space="preserve">Action Required</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4.0 – 5.0</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Low Risk</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Approve for CUI access; annual reassessment</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3.0 – 3.9</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Moderate Risk</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Conditional approval with remediation plan; reassess in 6 months</w:t>
            </w:r>
          </w:p>
        </w:tc>
      </w:tr>
      <w:tr>
        <w:trPr>
          <w:trHeight w:val="340" w:hRule="atLeast"/>
        </w:trPr>
        <w:tc>
          <w:tcPr>
            <w:tcW w:type="pct" w:w="33%"/>
            <w:shd w:color="FFFFFF" w:val="solid"/>
            <w:vAlign w:val="center"/>
          </w:tcPr>
          <w:p>
            <w:pPr>
              <w:spacing w:before="30" w:after="30"/>
              <w:jc w:val="left"/>
            </w:pPr>
            <w:r>
              <w:rPr>
                <w:rFonts w:ascii="Calibri" w:cs="Calibri" w:eastAsia="Calibri" w:hAnsi="Calibri"/>
                <w:color w:val="1E293B"/>
                <w:sz w:val="20"/>
                <w:szCs w:val="20"/>
              </w:rPr>
              <w:t xml:space="preserve">2.0 – 2.9</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High Risk</w:t>
            </w:r>
          </w:p>
        </w:tc>
        <w:tc>
          <w:tcPr>
            <w:tcW w:type="pct" w:w="33%"/>
            <w:shd w:color="FFFFFF" w:val="solid"/>
            <w:vAlign w:val="center"/>
          </w:tcPr>
          <w:p>
            <w:pPr>
              <w:spacing w:before="30" w:after="30"/>
              <w:jc w:val="left"/>
            </w:pPr>
            <w:r>
              <w:rPr>
                <w:rFonts w:ascii="Calibri" w:cs="Calibri" w:eastAsia="Calibri" w:hAnsi="Calibri"/>
                <w:color w:val="1E293B"/>
                <w:sz w:val="20"/>
                <w:szCs w:val="20"/>
              </w:rPr>
              <w:t xml:space="preserve">Approval requires executive review; 90-day remediation with monthly check-ins</w:t>
            </w:r>
          </w:p>
        </w:tc>
      </w:tr>
      <w:tr>
        <w:trPr>
          <w:trHeight w:val="340" w:hRule="atLeast"/>
        </w:trPr>
        <w:tc>
          <w:tcPr>
            <w:tcW w:type="pct" w:w="33%"/>
            <w:shd w:color="EFF6FF" w:val="solid"/>
            <w:vAlign w:val="center"/>
          </w:tcPr>
          <w:p>
            <w:pPr>
              <w:spacing w:before="30" w:after="30"/>
              <w:jc w:val="left"/>
            </w:pPr>
            <w:r>
              <w:rPr>
                <w:rFonts w:ascii="Calibri" w:cs="Calibri" w:eastAsia="Calibri" w:hAnsi="Calibri"/>
                <w:color w:val="1E293B"/>
                <w:sz w:val="20"/>
                <w:szCs w:val="20"/>
              </w:rPr>
              <w:t xml:space="preserve">1.0 – 1.9</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Critical Risk</w:t>
            </w:r>
          </w:p>
        </w:tc>
        <w:tc>
          <w:tcPr>
            <w:tcW w:type="pct" w:w="33%"/>
            <w:shd w:color="EFF6FF" w:val="solid"/>
            <w:vAlign w:val="center"/>
          </w:tcPr>
          <w:p>
            <w:pPr>
              <w:spacing w:before="30" w:after="30"/>
              <w:jc w:val="left"/>
            </w:pPr>
            <w:r>
              <w:rPr>
                <w:rFonts w:ascii="Calibri" w:cs="Calibri" w:eastAsia="Calibri" w:hAnsi="Calibri"/>
                <w:color w:val="1E293B"/>
                <w:sz w:val="20"/>
                <w:szCs w:val="20"/>
              </w:rPr>
              <w:t xml:space="preserve">Do not approve for CUI access until remediation complete; consider alternative vendors</w:t>
            </w:r>
          </w:p>
        </w:tc>
      </w:tr>
    </w:tbl>
    <w:p>
      <w:pPr>
        <w:spacing w:before="120" w:after="0"/>
      </w:pPr>
    </w:p>
    <w:p>
      <w:pPr>
        <w:pStyle w:val="Heading2"/>
        <w:spacing w:before="240" w:after="120"/>
      </w:pPr>
      <w:r>
        <w:rPr>
          <w:rFonts w:ascii="Calibri" w:cs="Calibri" w:eastAsia="Calibri" w:hAnsi="Calibri"/>
          <w:b/>
          <w:bCs/>
          <w:color w:val="1E3A8A"/>
          <w:sz w:val="26"/>
          <w:szCs w:val="26"/>
        </w:rPr>
        <w:t xml:space="preserve">Assessor Determination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Risk Rating</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Low  ☐ Moderate  ☐ High  ☐ Critical</w:t>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Recommended Action</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Key Concerns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Required Remediation Items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Reassessment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Assessor Name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Assessment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Vendor Attestation</w:t>
      </w:r>
    </w:p>
    <w:p>
      <w:pPr>
        <w:spacing w:after="120" w:before="0" w:line="276"/>
        <w:jc w:val="left"/>
      </w:pPr>
      <w:r>
        <w:rPr>
          <w:rFonts w:ascii="Calibri" w:cs="Calibri" w:eastAsia="Calibri" w:hAnsi="Calibri"/>
          <w:b w:val="false"/>
          <w:bCs w:val="false"/>
          <w:i w:val="false"/>
          <w:iCs w:val="false"/>
          <w:color w:val="1E293B"/>
          <w:sz w:val="22"/>
          <w:szCs w:val="22"/>
        </w:rPr>
        <w:t xml:space="preserve">I attest that the information provided in this questionnaire is accurate and complete to the best of my knowledge. I understand that inaccurate information may result in contract action.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Title</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Organization</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Date</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Signature</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CUI // SP-TPRM</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Vendor Risk Assessment Questionnaire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Risk Assessment Questionnaire</dc:title>
  <dc:creator>Dominus Gray, LLC</dc:creator>
  <dc:description>Third-party security assessment questionnaire for CUI subcontractors</dc:description>
  <cp:lastModifiedBy>Un-named</cp:lastModifiedBy>
  <cp:revision>1</cp:revision>
  <dcterms:created xsi:type="dcterms:W3CDTF">2026-02-12T06:25:39.763Z</dcterms:created>
  <dcterms:modified xsi:type="dcterms:W3CDTF">2026-02-12T06:25:39.763Z</dcterms:modified>
</cp:coreProperties>
</file>

<file path=docProps/custom.xml><?xml version="1.0" encoding="utf-8"?>
<Properties xmlns="http://schemas.openxmlformats.org/officeDocument/2006/custom-properties" xmlns:vt="http://schemas.openxmlformats.org/officeDocument/2006/docPropsVTypes"/>
</file>